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6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6"/>
          <w:shd w:fill="auto" w:val="clear"/>
        </w:rPr>
        <w:t>_____________________________________________________________________</w:t>
      </w:r>
    </w:p>
    <w:p>
      <w:pPr>
        <w:pStyle w:val="Normal"/>
        <w:tabs>
          <w:tab w:val="clear" w:pos="709"/>
          <w:tab w:val="left" w:pos="4536" w:leader="none"/>
          <w:tab w:val="left" w:pos="9072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</w:r>
    </w:p>
    <w:p>
      <w:pPr>
        <w:pStyle w:val="Normal"/>
        <w:tabs>
          <w:tab w:val="clear" w:pos="709"/>
          <w:tab w:val="left" w:pos="4536" w:leader="none"/>
          <w:tab w:val="left" w:pos="9072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</w:r>
    </w:p>
    <w:p>
      <w:pPr>
        <w:pStyle w:val="Normal"/>
        <w:tabs>
          <w:tab w:val="clear" w:pos="709"/>
          <w:tab w:val="left" w:pos="4536" w:leader="none"/>
          <w:tab w:val="left" w:pos="9072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</w:r>
    </w:p>
    <w:p>
      <w:pPr>
        <w:pStyle w:val="Normal"/>
        <w:tabs>
          <w:tab w:val="clear" w:pos="709"/>
          <w:tab w:val="left" w:pos="4536" w:leader="none"/>
          <w:tab w:val="left" w:pos="9072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0" w:right="0" w:hanging="0"/>
        <w:jc w:val="center"/>
        <w:rPr>
          <w:rFonts w:ascii="Arial" w:hAnsi="Arial" w:eastAsia="Arial" w:cs="Arial"/>
          <w:b/>
          <w:b/>
          <w:color w:val="FF0000"/>
          <w:spacing w:val="0"/>
          <w:sz w:val="24"/>
        </w:rPr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OBEC SKALIČKA</w:t>
      </w:r>
    </w:p>
    <w:p>
      <w:pPr>
        <w:pStyle w:val="Normal"/>
        <w:bidi w:val="0"/>
        <w:spacing w:lineRule="exact" w:line="276" w:before="0" w:after="0"/>
        <w:ind w:left="0" w:right="0" w:hanging="0"/>
        <w:jc w:val="center"/>
        <w:rPr>
          <w:rFonts w:ascii="Arial" w:hAnsi="Arial" w:eastAsia="Arial" w:cs="Arial"/>
          <w:b/>
          <w:b/>
          <w:color w:val="FF0000"/>
          <w:spacing w:val="0"/>
          <w:sz w:val="24"/>
        </w:rPr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Zastupitelstvo obce Skalička</w:t>
      </w:r>
    </w:p>
    <w:p>
      <w:pPr>
        <w:pStyle w:val="Normal"/>
        <w:bidi w:val="0"/>
        <w:spacing w:lineRule="exact" w:line="276" w:before="0" w:after="0"/>
        <w:ind w:left="0" w:right="0" w:hanging="0"/>
        <w:jc w:val="center"/>
        <w:rPr/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Obecně závazná vyhláška obce Skalička č. 0</w:t>
      </w: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3</w:t>
      </w: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/202</w:t>
      </w: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2</w:t>
      </w: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,</w:t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Arial" w:hAnsi="Arial" w:eastAsia="Arial" w:cs="Arial"/>
          <w:b/>
          <w:b/>
          <w:color w:val="auto"/>
          <w:spacing w:val="0"/>
          <w:sz w:val="24"/>
        </w:rPr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o místním poplatku za obecní systém odpadového hospodářství</w:t>
      </w:r>
    </w:p>
    <w:p>
      <w:pPr>
        <w:pStyle w:val="Normal"/>
        <w:tabs>
          <w:tab w:val="clear" w:pos="709"/>
          <w:tab w:val="left" w:pos="2977" w:leader="none"/>
        </w:tabs>
        <w:bidi w:val="0"/>
        <w:spacing w:lineRule="exact" w:line="264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</w:r>
    </w:p>
    <w:p>
      <w:pPr>
        <w:pStyle w:val="Normal"/>
        <w:tabs>
          <w:tab w:val="clear" w:pos="709"/>
          <w:tab w:val="left" w:pos="2977" w:leader="none"/>
        </w:tabs>
        <w:bidi w:val="0"/>
        <w:spacing w:lineRule="exact" w:line="264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</w:r>
    </w:p>
    <w:p>
      <w:pPr>
        <w:pStyle w:val="Normal"/>
        <w:tabs>
          <w:tab w:val="clear" w:pos="709"/>
          <w:tab w:val="left" w:pos="2977" w:leader="none"/>
        </w:tabs>
        <w:bidi w:val="0"/>
        <w:spacing w:lineRule="exact" w:line="264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</w:r>
    </w:p>
    <w:p>
      <w:pPr>
        <w:pStyle w:val="Normal"/>
        <w:tabs>
          <w:tab w:val="clear" w:pos="709"/>
          <w:tab w:val="left" w:pos="2977" w:leader="none"/>
        </w:tabs>
        <w:bidi w:val="0"/>
        <w:spacing w:lineRule="exact" w:line="264" w:before="0" w:after="0"/>
        <w:ind w:left="0" w:right="0" w:hanging="0"/>
        <w:jc w:val="both"/>
        <w:rPr/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Zastupitelstvo obce Skalička se na svém zasedání dne 1</w:t>
      </w: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5</w:t>
      </w: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.12.202</w:t>
      </w: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2</w:t>
      </w: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 xml:space="preserve"> usnesením č. </w:t>
      </w: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8</w:t>
      </w: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.1/</w:t>
      </w: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8</w:t>
      </w: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/202</w:t>
      </w: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 xml:space="preserve">2 </w:t>
      </w: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 xml:space="preserve">usneslo vydat na základě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>
      <w:pPr>
        <w:pStyle w:val="Normal"/>
        <w:keepNext w:val="true"/>
        <w:keepLines/>
        <w:bidi w:val="0"/>
        <w:spacing w:lineRule="exact" w:line="240" w:before="480" w:after="60"/>
        <w:ind w:left="0" w:right="0" w:hanging="0"/>
        <w:jc w:val="center"/>
        <w:rPr>
          <w:rFonts w:ascii="Arial" w:hAnsi="Arial" w:eastAsia="Arial" w:cs="Arial"/>
          <w:b/>
          <w:b/>
          <w:color w:val="auto"/>
          <w:spacing w:val="0"/>
          <w:sz w:val="24"/>
        </w:rPr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Čl. 1</w:t>
      </w:r>
    </w:p>
    <w:p>
      <w:pPr>
        <w:pStyle w:val="Normal"/>
        <w:keepNext w:val="true"/>
        <w:keepLines/>
        <w:bidi w:val="0"/>
        <w:spacing w:lineRule="exact" w:line="240" w:before="60" w:after="160"/>
        <w:ind w:left="0" w:right="0" w:hanging="0"/>
        <w:jc w:val="center"/>
        <w:rPr>
          <w:rFonts w:ascii="Arial" w:hAnsi="Arial" w:eastAsia="Arial" w:cs="Arial"/>
          <w:b/>
          <w:b/>
          <w:color w:val="auto"/>
          <w:spacing w:val="0"/>
          <w:sz w:val="24"/>
        </w:rPr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Úvodní ustanovení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67" w:leader="none"/>
        </w:tabs>
        <w:bidi w:val="0"/>
        <w:spacing w:lineRule="exact" w:line="264" w:before="0" w:after="60"/>
        <w:ind w:left="567" w:right="0" w:hanging="567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Obec Skalička touto vyhláškou zavádí místní poplatek za obecní systém odpadového hospodářství (dále jen „poplatek“).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67" w:leader="none"/>
        </w:tabs>
        <w:bidi w:val="0"/>
        <w:spacing w:lineRule="exact" w:line="288" w:before="0" w:after="0"/>
        <w:ind w:left="567" w:right="0" w:hanging="567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Správcem poplatku je obecní úřad Skalička</w:t>
      </w:r>
    </w:p>
    <w:p>
      <w:pPr>
        <w:pStyle w:val="Normal"/>
        <w:keepNext w:val="true"/>
        <w:keepLines/>
        <w:bidi w:val="0"/>
        <w:spacing w:lineRule="exact" w:line="240" w:before="480" w:after="60"/>
        <w:ind w:left="0" w:right="0" w:hanging="0"/>
        <w:jc w:val="center"/>
        <w:rPr>
          <w:rFonts w:ascii="Arial" w:hAnsi="Arial" w:eastAsia="Arial" w:cs="Arial"/>
          <w:b/>
          <w:b/>
          <w:color w:val="auto"/>
          <w:spacing w:val="0"/>
          <w:sz w:val="24"/>
        </w:rPr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Čl. 2</w:t>
      </w:r>
    </w:p>
    <w:p>
      <w:pPr>
        <w:pStyle w:val="Normal"/>
        <w:keepNext w:val="true"/>
        <w:keepLines/>
        <w:bidi w:val="0"/>
        <w:spacing w:lineRule="exact" w:line="240" w:before="60" w:after="160"/>
        <w:ind w:left="0" w:right="0" w:hanging="0"/>
        <w:jc w:val="center"/>
        <w:rPr>
          <w:rFonts w:ascii="Arial" w:hAnsi="Arial" w:eastAsia="Arial" w:cs="Arial"/>
          <w:b/>
          <w:b/>
          <w:color w:val="auto"/>
          <w:spacing w:val="0"/>
          <w:sz w:val="24"/>
        </w:rPr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Poplatník</w:t>
      </w:r>
    </w:p>
    <w:p>
      <w:pPr>
        <w:pStyle w:val="Normal"/>
        <w:numPr>
          <w:ilvl w:val="0"/>
          <w:numId w:val="2"/>
        </w:numPr>
        <w:bidi w:val="0"/>
        <w:spacing w:lineRule="exact" w:line="264" w:before="120" w:after="60"/>
        <w:ind w:left="567" w:right="0" w:hanging="567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Poplatníkem poplatku je:</w:t>
      </w:r>
    </w:p>
    <w:p>
      <w:pPr>
        <w:pStyle w:val="Normal"/>
        <w:bidi w:val="0"/>
        <w:spacing w:lineRule="exact" w:line="240" w:before="0" w:after="53"/>
        <w:ind w:left="0" w:right="0" w:firstLine="567"/>
        <w:jc w:val="both"/>
        <w:rPr>
          <w:rFonts w:ascii="Arial" w:hAnsi="Arial" w:eastAsia="Arial" w:cs="Arial"/>
          <w:color w:val="000000"/>
          <w:spacing w:val="0"/>
          <w:sz w:val="22"/>
        </w:rPr>
      </w:pPr>
      <w:r>
        <w:rPr>
          <w:rFonts w:eastAsia="Arial" w:cs="Arial" w:ascii="Arial" w:hAnsi="Arial"/>
          <w:color w:val="000000"/>
          <w:spacing w:val="0"/>
          <w:sz w:val="22"/>
          <w:shd w:fill="auto" w:val="clear"/>
        </w:rPr>
        <w:t xml:space="preserve">a) fyzická osoba přihlášená v obci nebo </w:t>
      </w:r>
    </w:p>
    <w:p>
      <w:pPr>
        <w:pStyle w:val="Normal"/>
        <w:bidi w:val="0"/>
        <w:spacing w:lineRule="exact" w:line="240" w:before="0" w:after="0"/>
        <w:ind w:left="567" w:right="0" w:hanging="0"/>
        <w:jc w:val="both"/>
        <w:rPr>
          <w:rFonts w:ascii="Arial" w:hAnsi="Arial" w:eastAsia="Arial" w:cs="Arial"/>
          <w:color w:val="000000"/>
          <w:spacing w:val="0"/>
          <w:sz w:val="22"/>
        </w:rPr>
      </w:pPr>
      <w:r>
        <w:rPr>
          <w:rFonts w:eastAsia="Arial" w:cs="Arial" w:ascii="Arial" w:hAnsi="Arial"/>
          <w:color w:val="000000"/>
          <w:spacing w:val="0"/>
          <w:sz w:val="22"/>
          <w:shd w:fill="auto" w:val="clear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>
      <w:pPr>
        <w:pStyle w:val="Normal"/>
        <w:numPr>
          <w:ilvl w:val="0"/>
          <w:numId w:val="3"/>
        </w:numPr>
        <w:bidi w:val="0"/>
        <w:spacing w:lineRule="exact" w:line="264" w:before="120" w:after="60"/>
        <w:ind w:left="567" w:right="0" w:hanging="567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Spoluvlastníci nemovité věci zahrnující byt, rodinný dům nebo stavbu pro rodinnou rekreaci jsou povinni plnit poplatkovou povinnost společně a nerozdílně.</w:t>
      </w:r>
    </w:p>
    <w:p>
      <w:pPr>
        <w:pStyle w:val="Normal"/>
        <w:keepNext w:val="true"/>
        <w:keepLines/>
        <w:bidi w:val="0"/>
        <w:spacing w:lineRule="exact" w:line="240" w:before="480" w:after="60"/>
        <w:ind w:left="4185" w:right="0" w:firstLine="63"/>
        <w:jc w:val="left"/>
        <w:rPr>
          <w:rFonts w:ascii="Arial" w:hAnsi="Arial" w:eastAsia="Arial" w:cs="Arial"/>
          <w:b/>
          <w:b/>
          <w:color w:val="auto"/>
          <w:spacing w:val="0"/>
          <w:sz w:val="24"/>
        </w:rPr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Čl. 3</w:t>
      </w:r>
    </w:p>
    <w:p>
      <w:pPr>
        <w:pStyle w:val="Normal"/>
        <w:keepNext w:val="true"/>
        <w:keepLines/>
        <w:bidi w:val="0"/>
        <w:spacing w:lineRule="exact" w:line="240" w:before="60" w:after="160"/>
        <w:ind w:left="3477" w:right="0" w:firstLine="63"/>
        <w:jc w:val="left"/>
        <w:rPr>
          <w:rFonts w:ascii="Arial" w:hAnsi="Arial" w:eastAsia="Arial" w:cs="Arial"/>
          <w:b/>
          <w:b/>
          <w:color w:val="auto"/>
          <w:spacing w:val="0"/>
          <w:sz w:val="24"/>
        </w:rPr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Poplatkové období</w:t>
      </w:r>
    </w:p>
    <w:p>
      <w:pPr>
        <w:pStyle w:val="Normal"/>
        <w:keepNext w:val="true"/>
        <w:keepLines/>
        <w:bidi w:val="0"/>
        <w:spacing w:lineRule="exact" w:line="240" w:before="480" w:after="60"/>
        <w:ind w:left="0" w:right="0" w:firstLine="708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Poplatkovým obdobím poplatku je kalendářní rok.</w:t>
      </w:r>
    </w:p>
    <w:p>
      <w:pPr>
        <w:pStyle w:val="Normal"/>
        <w:keepNext w:val="true"/>
        <w:keepLines/>
        <w:bidi w:val="0"/>
        <w:spacing w:lineRule="exact" w:line="240" w:before="480" w:after="60"/>
        <w:ind w:left="0" w:right="0" w:hanging="0"/>
        <w:jc w:val="center"/>
        <w:rPr>
          <w:rFonts w:ascii="Arial" w:hAnsi="Arial" w:eastAsia="Arial" w:cs="Arial"/>
          <w:b/>
          <w:b/>
          <w:color w:val="auto"/>
          <w:spacing w:val="0"/>
          <w:sz w:val="24"/>
        </w:rPr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Čl. 4</w:t>
      </w:r>
    </w:p>
    <w:p>
      <w:pPr>
        <w:pStyle w:val="Normal"/>
        <w:keepNext w:val="true"/>
        <w:keepLines/>
        <w:bidi w:val="0"/>
        <w:spacing w:lineRule="exact" w:line="240" w:before="60" w:after="160"/>
        <w:ind w:left="0" w:right="0" w:hanging="0"/>
        <w:jc w:val="center"/>
        <w:rPr>
          <w:rFonts w:ascii="Arial" w:hAnsi="Arial" w:eastAsia="Arial" w:cs="Arial"/>
          <w:b/>
          <w:b/>
          <w:color w:val="auto"/>
          <w:spacing w:val="0"/>
          <w:sz w:val="24"/>
        </w:rPr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Ohlašovací povinnost</w:t>
      </w:r>
    </w:p>
    <w:p>
      <w:pPr>
        <w:pStyle w:val="Normal"/>
        <w:tabs>
          <w:tab w:val="clear" w:pos="709"/>
          <w:tab w:val="left" w:pos="567" w:leader="none"/>
        </w:tabs>
        <w:bidi w:val="0"/>
        <w:spacing w:lineRule="exact" w:line="264" w:before="120" w:after="0"/>
        <w:ind w:left="0" w:right="0" w:hanging="0"/>
        <w:jc w:val="both"/>
        <w:rPr>
          <w:rFonts w:ascii="Arial" w:hAnsi="Arial" w:eastAsia="Arial" w:cs="Arial"/>
          <w:color w:val="0070C0"/>
          <w:spacing w:val="0"/>
          <w:sz w:val="20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 xml:space="preserve">Poplatník je povinen podat správci poplatku ohlášení nejpozději do 30 dnů ode dne vzniku své poplatkové povinnosti. </w:t>
      </w:r>
    </w:p>
    <w:p>
      <w:pPr>
        <w:pStyle w:val="Normal"/>
        <w:tabs>
          <w:tab w:val="clear" w:pos="709"/>
          <w:tab w:val="left" w:pos="567" w:leader="none"/>
        </w:tabs>
        <w:bidi w:val="0"/>
        <w:spacing w:lineRule="exact" w:line="312" w:before="12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V ohlášení poplatník uvede :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1021" w:leader="none"/>
        </w:tabs>
        <w:bidi w:val="0"/>
        <w:spacing w:lineRule="exact" w:line="312" w:before="120" w:after="0"/>
        <w:ind w:left="1021" w:right="0" w:hanging="454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  <w:br/>
        <w:t>v poplatkových věcech,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1021" w:leader="none"/>
        </w:tabs>
        <w:bidi w:val="0"/>
        <w:spacing w:lineRule="exact" w:line="312" w:before="120" w:after="0"/>
        <w:ind w:left="1021" w:right="0" w:hanging="454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1021" w:leader="none"/>
        </w:tabs>
        <w:bidi w:val="0"/>
        <w:spacing w:lineRule="exact" w:line="312" w:before="120" w:after="0"/>
        <w:ind w:left="1021" w:right="0" w:hanging="454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567" w:leader="none"/>
        </w:tabs>
        <w:bidi w:val="0"/>
        <w:spacing w:lineRule="exact" w:line="264" w:before="120" w:after="0"/>
        <w:ind w:left="567" w:right="0" w:hanging="567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567" w:leader="none"/>
        </w:tabs>
        <w:bidi w:val="0"/>
        <w:spacing w:lineRule="exact" w:line="264" w:before="120" w:after="0"/>
        <w:ind w:left="567" w:right="0" w:hanging="567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Dojde-li ke změně údajů uvedených v ohlášení, je poplatník povinen tuto změnu oznámit do 30 dnů ode dne, kdy nastala.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567" w:leader="none"/>
        </w:tabs>
        <w:bidi w:val="0"/>
        <w:spacing w:lineRule="exact" w:line="264" w:before="120" w:after="0"/>
        <w:ind w:left="567" w:right="0" w:hanging="567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>
      <w:pPr>
        <w:pStyle w:val="Normal"/>
        <w:keepNext w:val="true"/>
        <w:keepLines/>
        <w:bidi w:val="0"/>
        <w:spacing w:lineRule="exact" w:line="240" w:before="480" w:after="60"/>
        <w:ind w:left="0" w:right="0" w:hanging="0"/>
        <w:jc w:val="center"/>
        <w:rPr>
          <w:rFonts w:ascii="Arial" w:hAnsi="Arial" w:eastAsia="Arial" w:cs="Arial"/>
          <w:b/>
          <w:b/>
          <w:i/>
          <w:i/>
          <w:color w:val="auto"/>
          <w:spacing w:val="0"/>
          <w:sz w:val="24"/>
        </w:rPr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Čl. 5</w:t>
      </w:r>
    </w:p>
    <w:p>
      <w:pPr>
        <w:pStyle w:val="Normal"/>
        <w:keepNext w:val="true"/>
        <w:keepLines/>
        <w:bidi w:val="0"/>
        <w:spacing w:lineRule="exact" w:line="240" w:before="60" w:after="160"/>
        <w:ind w:left="0" w:right="0" w:hanging="0"/>
        <w:jc w:val="center"/>
        <w:rPr>
          <w:rFonts w:ascii="Arial" w:hAnsi="Arial" w:eastAsia="Arial" w:cs="Arial"/>
          <w:b/>
          <w:b/>
          <w:color w:val="auto"/>
          <w:spacing w:val="0"/>
          <w:sz w:val="24"/>
        </w:rPr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Sazba poplatku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567" w:leader="none"/>
        </w:tabs>
        <w:bidi w:val="0"/>
        <w:spacing w:lineRule="exact" w:line="264" w:before="120" w:after="60"/>
        <w:ind w:left="567" w:right="0" w:hanging="567"/>
        <w:jc w:val="both"/>
        <w:rPr/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 xml:space="preserve">Sazba poplatku činí </w:t>
      </w: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7</w:t>
      </w: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00,-Kč/poplatník/rok.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567" w:leader="none"/>
        </w:tabs>
        <w:bidi w:val="0"/>
        <w:spacing w:lineRule="exact" w:line="264" w:before="120" w:after="60"/>
        <w:ind w:left="567" w:right="0" w:hanging="567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Poplatek se v případě, že poplatková povinnost vznikla z důvodu přihlášení fyzické osoby v obci, snižuje o jednu dvanáctinu za každý kalendářní měsíc, na jehož konci</w:t>
      </w:r>
    </w:p>
    <w:p>
      <w:pPr>
        <w:pStyle w:val="Normal"/>
        <w:bidi w:val="0"/>
        <w:spacing w:lineRule="exact" w:line="264" w:before="120" w:after="60"/>
        <w:ind w:left="567" w:right="0" w:hanging="0"/>
        <w:jc w:val="both"/>
        <w:rPr/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a) není tato fyzická osoba přihlášena v obci,</w:t>
      </w:r>
    </w:p>
    <w:p>
      <w:pPr>
        <w:pStyle w:val="Normal"/>
        <w:bidi w:val="0"/>
        <w:spacing w:lineRule="exact" w:line="264" w:before="120" w:after="60"/>
        <w:ind w:left="567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b) je tato fyzická osoba od poplatku osvobozena.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567" w:leader="none"/>
        </w:tabs>
        <w:bidi w:val="0"/>
        <w:spacing w:lineRule="exact" w:line="264" w:before="120" w:after="60"/>
        <w:ind w:left="567" w:right="0" w:hanging="567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</w:p>
    <w:p>
      <w:pPr>
        <w:pStyle w:val="Normal"/>
        <w:bidi w:val="0"/>
        <w:spacing w:lineRule="exact" w:line="264" w:before="120" w:after="60"/>
        <w:ind w:left="567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a) je v této nemovité věci přihlášena alespoň 1 fyzická osoba,</w:t>
      </w:r>
    </w:p>
    <w:p>
      <w:pPr>
        <w:pStyle w:val="Normal"/>
        <w:bidi w:val="0"/>
        <w:spacing w:lineRule="exact" w:line="264" w:before="120" w:after="60"/>
        <w:ind w:left="567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b) poplatník nevlastní tuto nemovitou věc, nebo</w:t>
      </w:r>
    </w:p>
    <w:p>
      <w:pPr>
        <w:pStyle w:val="Normal"/>
        <w:bidi w:val="0"/>
        <w:spacing w:lineRule="exact" w:line="264" w:before="120" w:after="60"/>
        <w:ind w:left="567" w:right="0" w:hanging="0"/>
        <w:jc w:val="both"/>
        <w:rPr>
          <w:rFonts w:ascii="Arial" w:hAnsi="Arial" w:eastAsia="Arial" w:cs="Arial"/>
          <w:i/>
          <w:i/>
          <w:color w:val="0070C0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c) je poplatník od poplatku osvobozen</w:t>
      </w:r>
      <w:r>
        <w:rPr>
          <w:rFonts w:eastAsia="Arial" w:cs="Arial" w:ascii="Arial" w:hAnsi="Arial"/>
          <w:i/>
          <w:color w:val="0070C0"/>
          <w:spacing w:val="0"/>
          <w:sz w:val="22"/>
          <w:shd w:fill="auto" w:val="clear"/>
        </w:rPr>
        <w:t>.</w:t>
      </w:r>
    </w:p>
    <w:p>
      <w:pPr>
        <w:pStyle w:val="Normal"/>
        <w:bidi w:val="0"/>
        <w:spacing w:lineRule="exact" w:line="240" w:before="120" w:after="0"/>
        <w:ind w:left="0" w:right="0" w:hanging="0"/>
        <w:jc w:val="left"/>
        <w:rPr>
          <w:rFonts w:ascii="Arial" w:hAnsi="Arial" w:eastAsia="Arial" w:cs="Arial"/>
          <w:i/>
          <w:i/>
          <w:color w:val="0070C0"/>
          <w:spacing w:val="0"/>
          <w:sz w:val="22"/>
        </w:rPr>
      </w:pPr>
      <w:r>
        <w:rPr>
          <w:rFonts w:eastAsia="Arial" w:cs="Arial" w:ascii="Arial" w:hAnsi="Arial"/>
          <w:i/>
          <w:color w:val="0070C0"/>
          <w:spacing w:val="0"/>
          <w:sz w:val="22"/>
          <w:shd w:fill="auto" w:val="clear"/>
        </w:rPr>
      </w:r>
    </w:p>
    <w:p>
      <w:pPr>
        <w:pStyle w:val="Normal"/>
        <w:keepNext w:val="true"/>
        <w:keepLines/>
        <w:bidi w:val="0"/>
        <w:spacing w:lineRule="exact" w:line="240" w:before="480" w:after="60"/>
        <w:ind w:left="0" w:right="0" w:hanging="0"/>
        <w:jc w:val="center"/>
        <w:rPr>
          <w:rFonts w:ascii="Arial" w:hAnsi="Arial" w:eastAsia="Arial" w:cs="Arial"/>
          <w:b/>
          <w:b/>
          <w:color w:val="auto"/>
          <w:spacing w:val="0"/>
          <w:sz w:val="24"/>
        </w:rPr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Čl. 6</w:t>
      </w:r>
    </w:p>
    <w:p>
      <w:pPr>
        <w:pStyle w:val="Normal"/>
        <w:keepNext w:val="true"/>
        <w:keepLines/>
        <w:bidi w:val="0"/>
        <w:spacing w:lineRule="exact" w:line="240" w:before="60" w:after="160"/>
        <w:ind w:left="0" w:right="0" w:hanging="0"/>
        <w:jc w:val="center"/>
        <w:rPr>
          <w:rFonts w:ascii="Arial" w:hAnsi="Arial" w:eastAsia="Arial" w:cs="Arial"/>
          <w:b/>
          <w:b/>
          <w:color w:val="auto"/>
          <w:spacing w:val="0"/>
          <w:sz w:val="24"/>
        </w:rPr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Splatnost poplatku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567" w:leader="none"/>
        </w:tabs>
        <w:bidi w:val="0"/>
        <w:spacing w:lineRule="exact" w:line="264" w:before="120" w:after="0"/>
        <w:ind w:left="567" w:right="0" w:hanging="567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 xml:space="preserve">Poplatek je splatný jednorázově, a to nejpozději do 30.6 příslušného kalendářního roku. 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567" w:leader="none"/>
        </w:tabs>
        <w:bidi w:val="0"/>
        <w:spacing w:lineRule="exact" w:line="264" w:before="120" w:after="0"/>
        <w:ind w:left="567" w:right="0" w:hanging="567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567" w:leader="none"/>
        </w:tabs>
        <w:bidi w:val="0"/>
        <w:spacing w:lineRule="exact" w:line="264" w:before="120" w:after="0"/>
        <w:ind w:left="567" w:right="0" w:hanging="567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 xml:space="preserve">Lhůta splatnosti neskončí poplatníkovi dříve než lhůta pro podání ohlášení podle čl. 4 odst. 1 této vyhlášky. </w:t>
      </w:r>
    </w:p>
    <w:p>
      <w:pPr>
        <w:pStyle w:val="Normal"/>
        <w:keepNext w:val="true"/>
        <w:keepLines/>
        <w:bidi w:val="0"/>
        <w:spacing w:lineRule="exact" w:line="240" w:before="480" w:after="60"/>
        <w:ind w:left="0" w:right="0" w:hanging="0"/>
        <w:jc w:val="center"/>
        <w:rPr>
          <w:rFonts w:ascii="Arial" w:hAnsi="Arial" w:eastAsia="Arial" w:cs="Arial"/>
          <w:b/>
          <w:b/>
          <w:color w:val="auto"/>
          <w:spacing w:val="0"/>
          <w:sz w:val="24"/>
        </w:rPr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Čl. 7</w:t>
      </w:r>
    </w:p>
    <w:p>
      <w:pPr>
        <w:pStyle w:val="Normal"/>
        <w:keepNext w:val="true"/>
        <w:keepLines/>
        <w:bidi w:val="0"/>
        <w:spacing w:lineRule="exact" w:line="240" w:before="60" w:after="160"/>
        <w:ind w:left="0" w:right="0" w:hanging="0"/>
        <w:jc w:val="center"/>
        <w:rPr>
          <w:rFonts w:ascii="Arial" w:hAnsi="Arial" w:eastAsia="Arial" w:cs="Arial"/>
          <w:b/>
          <w:b/>
          <w:color w:val="auto"/>
          <w:spacing w:val="0"/>
          <w:sz w:val="24"/>
        </w:rPr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 xml:space="preserve">Osvobození </w:t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567" w:leader="none"/>
        </w:tabs>
        <w:bidi w:val="0"/>
        <w:spacing w:lineRule="exact" w:line="240" w:before="0" w:after="0"/>
        <w:ind w:left="567" w:right="0" w:hanging="567"/>
        <w:jc w:val="left"/>
        <w:rPr>
          <w:rFonts w:ascii="Arial" w:hAnsi="Arial" w:eastAsia="Arial" w:cs="Arial"/>
          <w:color w:val="000000"/>
          <w:spacing w:val="0"/>
          <w:sz w:val="22"/>
        </w:rPr>
      </w:pPr>
      <w:r>
        <w:rPr>
          <w:rFonts w:eastAsia="Arial" w:cs="Arial" w:ascii="Arial" w:hAnsi="Arial"/>
          <w:color w:val="000000"/>
          <w:spacing w:val="0"/>
          <w:sz w:val="22"/>
          <w:shd w:fill="auto" w:val="clear"/>
        </w:rPr>
        <w:t xml:space="preserve">Od poplatku je osvobozena osoba, které poplatková povinnost vznikla z důvodu přihlášení v obci a která je </w:t>
      </w:r>
    </w:p>
    <w:p>
      <w:pPr>
        <w:pStyle w:val="Normal"/>
        <w:bidi w:val="0"/>
        <w:spacing w:lineRule="exact" w:line="240" w:before="0" w:after="0"/>
        <w:ind w:left="567" w:right="0" w:hanging="0"/>
        <w:jc w:val="left"/>
        <w:rPr>
          <w:rFonts w:ascii="Arial" w:hAnsi="Arial" w:eastAsia="Arial" w:cs="Arial"/>
          <w:color w:val="000000"/>
          <w:spacing w:val="0"/>
          <w:sz w:val="22"/>
        </w:rPr>
      </w:pPr>
      <w:r>
        <w:rPr>
          <w:rFonts w:eastAsia="Arial" w:cs="Arial" w:ascii="Arial" w:hAnsi="Arial"/>
          <w:color w:val="000000"/>
          <w:spacing w:val="0"/>
          <w:sz w:val="22"/>
          <w:shd w:fill="auto" w:val="clear"/>
        </w:rPr>
        <w:t>a) poplatníkem poplatku za odkládání komunálního odpadu z nemovité věci v jiné obci a má v této jiné obci bydliště,</w:t>
      </w:r>
    </w:p>
    <w:p>
      <w:pPr>
        <w:pStyle w:val="Normal"/>
        <w:bidi w:val="0"/>
        <w:spacing w:lineRule="exact" w:line="240" w:before="0" w:after="53"/>
        <w:ind w:left="567" w:right="0" w:hanging="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>
      <w:pPr>
        <w:pStyle w:val="Normal"/>
        <w:bidi w:val="0"/>
        <w:spacing w:lineRule="exact" w:line="240" w:before="0" w:after="53"/>
        <w:ind w:left="567" w:right="0" w:hanging="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>
      <w:pPr>
        <w:pStyle w:val="Normal"/>
        <w:bidi w:val="0"/>
        <w:spacing w:lineRule="exact" w:line="240" w:before="0" w:after="53"/>
        <w:ind w:left="567" w:right="0" w:hanging="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 xml:space="preserve">d) umístěna v domově pro osoby se zdravotním postižením, domově pro seniory, domově se zvláštním režimem nebo v chráněném bydlení, nebo </w:t>
      </w:r>
    </w:p>
    <w:p>
      <w:pPr>
        <w:pStyle w:val="Normal"/>
        <w:bidi w:val="0"/>
        <w:spacing w:lineRule="exact" w:line="240" w:before="0" w:after="0"/>
        <w:ind w:left="567" w:right="0" w:hanging="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 xml:space="preserve">e) na základě zákona omezena na osobní svobodě s výjimkou osoby vykonávající trest domácího vězení. </w:t>
      </w:r>
    </w:p>
    <w:p>
      <w:pPr>
        <w:pStyle w:val="Normal"/>
        <w:numPr>
          <w:ilvl w:val="0"/>
          <w:numId w:val="9"/>
        </w:numPr>
        <w:tabs>
          <w:tab w:val="clear" w:pos="709"/>
          <w:tab w:val="left" w:pos="567" w:leader="none"/>
        </w:tabs>
        <w:bidi w:val="0"/>
        <w:spacing w:lineRule="exact" w:line="264" w:before="120" w:after="0"/>
        <w:ind w:left="567" w:right="0" w:hanging="567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Od poplatku se osvobozuje osoba, které poplatková povinnost vznikla z důvodu přihlášení v obci a která</w:t>
      </w:r>
    </w:p>
    <w:p>
      <w:pPr>
        <w:pStyle w:val="Normal"/>
        <w:numPr>
          <w:ilvl w:val="0"/>
          <w:numId w:val="9"/>
        </w:numPr>
        <w:tabs>
          <w:tab w:val="clear" w:pos="709"/>
          <w:tab w:val="left" w:pos="1021" w:leader="none"/>
        </w:tabs>
        <w:bidi w:val="0"/>
        <w:spacing w:lineRule="exact" w:line="264" w:before="0" w:after="0"/>
        <w:ind w:left="1021" w:right="0" w:hanging="454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 xml:space="preserve">Je dlouhodobě nepřítomná (minimálně 10 měsíců v příslušném kalendářním roce) z důvodu zaměstnání nebo pobytu v zahraničí </w:t>
      </w:r>
    </w:p>
    <w:p>
      <w:pPr>
        <w:pStyle w:val="Normal"/>
        <w:numPr>
          <w:ilvl w:val="0"/>
          <w:numId w:val="9"/>
        </w:numPr>
        <w:tabs>
          <w:tab w:val="clear" w:pos="709"/>
          <w:tab w:val="left" w:pos="1021" w:leader="none"/>
        </w:tabs>
        <w:bidi w:val="0"/>
        <w:spacing w:lineRule="exact" w:line="264" w:before="0" w:after="0"/>
        <w:ind w:left="1021" w:right="0" w:hanging="454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Je přihlášena na ohlašovně, tj. Skalička č.p.10, 66603 a v obci se nezdržuje</w:t>
      </w:r>
    </w:p>
    <w:p>
      <w:pPr>
        <w:pStyle w:val="Normal"/>
        <w:bidi w:val="0"/>
        <w:spacing w:lineRule="exact" w:line="264" w:before="120" w:after="0"/>
        <w:ind w:left="567" w:right="0" w:hanging="567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 xml:space="preserve"> </w:t>
      </w: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(3)</w:t>
        <w:tab/>
        <w:t>V případě, že poplatník nesplní povinnost ohlásit údaj rozhodný pro osvobození ve lhůtách stanovených touto vyhláškou nebo zákonem, nárok na osvobození zaniká.</w:t>
      </w:r>
    </w:p>
    <w:p>
      <w:pPr>
        <w:pStyle w:val="Normal"/>
        <w:tabs>
          <w:tab w:val="clear" w:pos="709"/>
          <w:tab w:val="left" w:pos="3780" w:leader="none"/>
        </w:tabs>
        <w:bidi w:val="0"/>
        <w:spacing w:lineRule="exact" w:line="264" w:before="0" w:after="0"/>
        <w:ind w:left="567" w:right="0" w:hanging="0"/>
        <w:jc w:val="both"/>
        <w:rPr>
          <w:rFonts w:ascii="Arial" w:hAnsi="Arial" w:eastAsia="Arial" w:cs="Arial"/>
          <w:i/>
          <w:i/>
          <w:color w:val="0070C0"/>
          <w:spacing w:val="0"/>
          <w:sz w:val="20"/>
          <w:u w:val="single"/>
        </w:rPr>
      </w:pPr>
      <w:r>
        <w:rPr>
          <w:rFonts w:eastAsia="Arial" w:cs="Arial" w:ascii="Arial" w:hAnsi="Arial"/>
          <w:i/>
          <w:color w:val="0070C0"/>
          <w:spacing w:val="0"/>
          <w:sz w:val="20"/>
          <w:u w:val="single"/>
          <w:shd w:fill="auto" w:val="clear"/>
        </w:rPr>
      </w:r>
    </w:p>
    <w:p>
      <w:pPr>
        <w:pStyle w:val="Normal"/>
        <w:keepNext w:val="true"/>
        <w:keepLines/>
        <w:bidi w:val="0"/>
        <w:spacing w:lineRule="exact" w:line="240" w:before="480" w:after="60"/>
        <w:ind w:left="0" w:right="0" w:hanging="0"/>
        <w:jc w:val="center"/>
        <w:rPr>
          <w:rFonts w:ascii="Arial" w:hAnsi="Arial" w:eastAsia="Arial" w:cs="Arial"/>
          <w:b/>
          <w:b/>
          <w:color w:val="auto"/>
          <w:spacing w:val="0"/>
          <w:sz w:val="24"/>
        </w:rPr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Čl. 8</w:t>
      </w:r>
    </w:p>
    <w:p>
      <w:pPr>
        <w:pStyle w:val="Normal"/>
        <w:keepNext w:val="true"/>
        <w:keepLines/>
        <w:bidi w:val="0"/>
        <w:spacing w:lineRule="exact" w:line="240" w:before="60" w:after="160"/>
        <w:ind w:left="0" w:right="0" w:hanging="0"/>
        <w:jc w:val="center"/>
        <w:rPr>
          <w:rFonts w:ascii="Arial" w:hAnsi="Arial" w:eastAsia="Arial" w:cs="Arial"/>
          <w:b/>
          <w:b/>
          <w:color w:val="auto"/>
          <w:spacing w:val="0"/>
          <w:sz w:val="24"/>
        </w:rPr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Navýšení poplatku</w:t>
      </w: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</w:rPr>
        <w:t xml:space="preserve"> </w:t>
      </w:r>
    </w:p>
    <w:p>
      <w:pPr>
        <w:pStyle w:val="Normal"/>
        <w:numPr>
          <w:ilvl w:val="0"/>
          <w:numId w:val="10"/>
        </w:numPr>
        <w:tabs>
          <w:tab w:val="clear" w:pos="709"/>
          <w:tab w:val="left" w:pos="567" w:leader="none"/>
        </w:tabs>
        <w:bidi w:val="0"/>
        <w:spacing w:lineRule="exact" w:line="264" w:before="120" w:after="0"/>
        <w:ind w:left="567" w:right="0" w:hanging="567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Nebudou-li poplatky zaplaceny poplatníkem včas nebo ve správné výši, vyměří mu správce poplatku poplatek platebním výměrem nebo hromadným předpisným seznamem.</w:t>
      </w:r>
    </w:p>
    <w:p>
      <w:pPr>
        <w:pStyle w:val="Normal"/>
        <w:numPr>
          <w:ilvl w:val="0"/>
          <w:numId w:val="10"/>
        </w:numPr>
        <w:tabs>
          <w:tab w:val="clear" w:pos="709"/>
          <w:tab w:val="left" w:pos="567" w:leader="none"/>
        </w:tabs>
        <w:bidi w:val="0"/>
        <w:spacing w:lineRule="exact" w:line="264" w:before="120" w:after="0"/>
        <w:ind w:left="567" w:right="0" w:hanging="567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Včas nezaplacené poplatky nebo část těchto poplatků může správce poplatku zvýšit až na trojnásobek; toto zvýšení je příslušenstvím poplatku sledujícím jeho osud.</w:t>
      </w:r>
    </w:p>
    <w:p>
      <w:pPr>
        <w:pStyle w:val="Normal"/>
        <w:keepNext w:val="true"/>
        <w:keepLines/>
        <w:bidi w:val="0"/>
        <w:spacing w:lineRule="exact" w:line="240" w:before="480" w:after="60"/>
        <w:ind w:left="0" w:right="0" w:hanging="0"/>
        <w:jc w:val="center"/>
        <w:rPr>
          <w:rFonts w:ascii="Arial" w:hAnsi="Arial" w:eastAsia="Arial" w:cs="Arial"/>
          <w:b/>
          <w:b/>
          <w:color w:val="auto"/>
          <w:spacing w:val="0"/>
          <w:sz w:val="24"/>
        </w:rPr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Čl. 9</w:t>
      </w:r>
    </w:p>
    <w:p>
      <w:pPr>
        <w:pStyle w:val="Normal"/>
        <w:keepNext w:val="true"/>
        <w:keepLines/>
        <w:bidi w:val="0"/>
        <w:spacing w:lineRule="exact" w:line="240" w:before="60" w:after="160"/>
        <w:ind w:left="0" w:right="0" w:hanging="0"/>
        <w:jc w:val="center"/>
        <w:rPr>
          <w:rFonts w:ascii="Arial" w:hAnsi="Arial" w:eastAsia="Arial" w:cs="Arial"/>
          <w:b/>
          <w:b/>
          <w:color w:val="auto"/>
          <w:spacing w:val="0"/>
          <w:sz w:val="24"/>
        </w:rPr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Odpovědnost za zaplacení poplatku</w:t>
      </w:r>
    </w:p>
    <w:p>
      <w:pPr>
        <w:pStyle w:val="Normal"/>
        <w:numPr>
          <w:ilvl w:val="0"/>
          <w:numId w:val="11"/>
        </w:numPr>
        <w:tabs>
          <w:tab w:val="clear" w:pos="709"/>
          <w:tab w:val="left" w:pos="567" w:leader="none"/>
        </w:tabs>
        <w:bidi w:val="0"/>
        <w:spacing w:lineRule="exact" w:line="264" w:before="120" w:after="0"/>
        <w:ind w:left="567" w:right="0" w:hanging="567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 xml:space="preserve">Vznikne-li nedoplatek na poplatku poplatníkovi, který je ke dni splatnosti nezletilý </w:t>
        <w:br/>
        <w:t xml:space="preserve">a nenabyl plné svéprávnosti nebo který je ke dni splatnosti omezen ve svéprávnosti </w:t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>
      <w:pPr>
        <w:pStyle w:val="Normal"/>
        <w:numPr>
          <w:ilvl w:val="0"/>
          <w:numId w:val="11"/>
        </w:numPr>
        <w:tabs>
          <w:tab w:val="clear" w:pos="709"/>
          <w:tab w:val="left" w:pos="567" w:leader="none"/>
        </w:tabs>
        <w:bidi w:val="0"/>
        <w:spacing w:lineRule="exact" w:line="264" w:before="120" w:after="0"/>
        <w:ind w:left="567" w:right="0" w:hanging="567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V případě podle odstavce 1 vyměří správce poplatku poplatek zákonnému zástupci nebo opatrovníkovi poplatníka.</w:t>
      </w:r>
    </w:p>
    <w:p>
      <w:pPr>
        <w:pStyle w:val="Normal"/>
        <w:numPr>
          <w:ilvl w:val="0"/>
          <w:numId w:val="11"/>
        </w:numPr>
        <w:tabs>
          <w:tab w:val="clear" w:pos="709"/>
          <w:tab w:val="left" w:pos="567" w:leader="none"/>
        </w:tabs>
        <w:bidi w:val="0"/>
        <w:spacing w:lineRule="exact" w:line="264" w:before="120" w:after="0"/>
        <w:ind w:left="567" w:right="0" w:hanging="567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Je-li zákonných zástupců nebo opatrovníků více, jsou povinni plnit poplatkovou povinnost společně a nerozdílně.</w:t>
      </w:r>
    </w:p>
    <w:p>
      <w:pPr>
        <w:pStyle w:val="Normal"/>
        <w:keepNext w:val="true"/>
        <w:keepLines/>
        <w:bidi w:val="0"/>
        <w:spacing w:lineRule="exact" w:line="240" w:before="480" w:after="60"/>
        <w:ind w:left="3540" w:right="0" w:firstLine="708"/>
        <w:jc w:val="left"/>
        <w:rPr>
          <w:rFonts w:ascii="Arial" w:hAnsi="Arial" w:eastAsia="Arial" w:cs="Arial"/>
          <w:b/>
          <w:b/>
          <w:color w:val="auto"/>
          <w:spacing w:val="0"/>
          <w:sz w:val="24"/>
        </w:rPr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Čl. 10</w:t>
      </w:r>
    </w:p>
    <w:p>
      <w:pPr>
        <w:pStyle w:val="Normal"/>
        <w:keepNext w:val="true"/>
        <w:keepLines/>
        <w:bidi w:val="0"/>
        <w:spacing w:lineRule="exact" w:line="240" w:before="60" w:after="160"/>
        <w:ind w:left="3399" w:right="0" w:firstLine="141"/>
        <w:jc w:val="left"/>
        <w:rPr>
          <w:rFonts w:ascii="Arial" w:hAnsi="Arial" w:eastAsia="Arial" w:cs="Arial"/>
          <w:b/>
          <w:b/>
          <w:color w:val="auto"/>
          <w:spacing w:val="0"/>
          <w:sz w:val="24"/>
        </w:rPr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Společná ustanovení</w:t>
      </w:r>
    </w:p>
    <w:p>
      <w:pPr>
        <w:pStyle w:val="Normal"/>
        <w:numPr>
          <w:ilvl w:val="0"/>
          <w:numId w:val="12"/>
        </w:numPr>
        <w:tabs>
          <w:tab w:val="clear" w:pos="709"/>
          <w:tab w:val="left" w:pos="567" w:leader="none"/>
        </w:tabs>
        <w:bidi w:val="0"/>
        <w:spacing w:lineRule="exact" w:line="264" w:before="120" w:after="0"/>
        <w:ind w:left="567" w:right="0" w:hanging="567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</w:p>
    <w:p>
      <w:pPr>
        <w:pStyle w:val="Normal"/>
        <w:numPr>
          <w:ilvl w:val="0"/>
          <w:numId w:val="12"/>
        </w:numPr>
        <w:tabs>
          <w:tab w:val="clear" w:pos="709"/>
          <w:tab w:val="left" w:pos="567" w:leader="none"/>
        </w:tabs>
        <w:bidi w:val="0"/>
        <w:spacing w:lineRule="exact" w:line="264" w:before="120" w:after="0"/>
        <w:ind w:left="567" w:right="0" w:hanging="567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</w:p>
    <w:p>
      <w:pPr>
        <w:pStyle w:val="Normal"/>
        <w:keepNext w:val="true"/>
        <w:keepLines/>
        <w:bidi w:val="0"/>
        <w:spacing w:lineRule="exact" w:line="240" w:before="480" w:after="60"/>
        <w:ind w:left="0" w:right="0" w:hanging="0"/>
        <w:jc w:val="center"/>
        <w:rPr>
          <w:rFonts w:ascii="Arial" w:hAnsi="Arial" w:eastAsia="Arial" w:cs="Arial"/>
          <w:b/>
          <w:b/>
          <w:color w:val="auto"/>
          <w:spacing w:val="0"/>
          <w:sz w:val="24"/>
        </w:rPr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Čl. 11</w:t>
      </w:r>
    </w:p>
    <w:p>
      <w:pPr>
        <w:pStyle w:val="Normal"/>
        <w:keepNext w:val="true"/>
        <w:keepLines/>
        <w:bidi w:val="0"/>
        <w:spacing w:lineRule="exact" w:line="240" w:before="60" w:after="160"/>
        <w:ind w:left="0" w:right="0" w:hanging="0"/>
        <w:jc w:val="center"/>
        <w:rPr>
          <w:rFonts w:ascii="Arial" w:hAnsi="Arial" w:eastAsia="Arial" w:cs="Arial"/>
          <w:b/>
          <w:b/>
          <w:color w:val="auto"/>
          <w:spacing w:val="0"/>
          <w:sz w:val="24"/>
        </w:rPr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Přechodná ustanovení</w:t>
      </w:r>
    </w:p>
    <w:p>
      <w:pPr>
        <w:pStyle w:val="Normal"/>
        <w:keepNext w:val="true"/>
        <w:keepLines/>
        <w:bidi w:val="0"/>
        <w:spacing w:lineRule="exact" w:line="240" w:before="60" w:after="160"/>
        <w:ind w:left="0" w:right="0" w:hanging="0"/>
        <w:jc w:val="center"/>
        <w:rPr>
          <w:rFonts w:ascii="Arial" w:hAnsi="Arial" w:eastAsia="Arial" w:cs="Arial"/>
          <w:b/>
          <w:b/>
          <w:color w:val="auto"/>
          <w:spacing w:val="0"/>
          <w:sz w:val="24"/>
        </w:rPr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</w:r>
    </w:p>
    <w:p>
      <w:pPr>
        <w:pStyle w:val="Normal"/>
        <w:numPr>
          <w:ilvl w:val="0"/>
          <w:numId w:val="13"/>
        </w:numPr>
        <w:tabs>
          <w:tab w:val="clear" w:pos="709"/>
          <w:tab w:val="left" w:pos="567" w:leader="none"/>
        </w:tabs>
        <w:bidi w:val="0"/>
        <w:spacing w:lineRule="exact" w:line="264" w:before="120" w:after="0"/>
        <w:ind w:left="567" w:right="0" w:hanging="567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Údaje ohlášené poplatníkem místního poplatku za provoz systému shromažďování, sběru, přepravy, třídění, využívání a odstraňování komunálních odpadů ke dni předcházejícímu dni nabytí účinnosti této vyhlášky se považují za údaje ohlášené podle čl. 4 odst. 1 této vyhlášky.</w:t>
      </w:r>
    </w:p>
    <w:p>
      <w:pPr>
        <w:pStyle w:val="Normal"/>
        <w:numPr>
          <w:ilvl w:val="0"/>
          <w:numId w:val="13"/>
        </w:numPr>
        <w:tabs>
          <w:tab w:val="clear" w:pos="709"/>
          <w:tab w:val="left" w:pos="567" w:leader="none"/>
        </w:tabs>
        <w:bidi w:val="0"/>
        <w:spacing w:lineRule="exact" w:line="264" w:before="120" w:after="0"/>
        <w:ind w:left="567" w:right="0" w:hanging="567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Poplatkové povinnosti vzniklé před nabytím účinnosti této vyhlášky se posuzují podle dosavadních právních předpisů.</w:t>
      </w:r>
    </w:p>
    <w:p>
      <w:pPr>
        <w:pStyle w:val="Normal"/>
        <w:tabs>
          <w:tab w:val="clear" w:pos="709"/>
          <w:tab w:val="left" w:pos="3780" w:leader="none"/>
        </w:tabs>
        <w:bidi w:val="0"/>
        <w:spacing w:lineRule="exact" w:line="240" w:before="0" w:after="0"/>
        <w:ind w:left="0" w:right="0" w:hanging="0"/>
        <w:jc w:val="both"/>
        <w:rPr>
          <w:rFonts w:ascii="Arial" w:hAnsi="Arial" w:eastAsia="Arial" w:cs="Arial"/>
          <w:i/>
          <w:i/>
          <w:color w:val="0070C0"/>
          <w:spacing w:val="0"/>
          <w:sz w:val="20"/>
          <w:u w:val="single"/>
        </w:rPr>
      </w:pPr>
      <w:r>
        <w:rPr>
          <w:rFonts w:eastAsia="Arial" w:cs="Arial" w:ascii="Arial" w:hAnsi="Arial"/>
          <w:i/>
          <w:color w:val="0070C0"/>
          <w:spacing w:val="0"/>
          <w:sz w:val="20"/>
          <w:u w:val="single"/>
          <w:shd w:fill="auto" w:val="clear"/>
        </w:rPr>
      </w:r>
    </w:p>
    <w:p>
      <w:pPr>
        <w:pStyle w:val="Normal"/>
        <w:keepNext w:val="true"/>
        <w:keepLines/>
        <w:bidi w:val="0"/>
        <w:spacing w:lineRule="exact" w:line="240" w:before="480" w:after="60"/>
        <w:ind w:left="0" w:right="0" w:hanging="0"/>
        <w:jc w:val="center"/>
        <w:rPr>
          <w:rFonts w:ascii="Arial" w:hAnsi="Arial" w:eastAsia="Arial" w:cs="Arial"/>
          <w:b/>
          <w:b/>
          <w:color w:val="auto"/>
          <w:spacing w:val="0"/>
          <w:sz w:val="24"/>
        </w:rPr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Čl. 12</w:t>
      </w:r>
    </w:p>
    <w:p>
      <w:pPr>
        <w:pStyle w:val="Normal"/>
        <w:keepNext w:val="true"/>
        <w:keepLines/>
        <w:bidi w:val="0"/>
        <w:spacing w:lineRule="exact" w:line="240" w:before="60" w:after="160"/>
        <w:ind w:left="0" w:right="0" w:hanging="0"/>
        <w:jc w:val="center"/>
        <w:rPr>
          <w:rFonts w:ascii="Arial" w:hAnsi="Arial" w:eastAsia="Arial" w:cs="Arial"/>
          <w:b/>
          <w:b/>
          <w:color w:val="auto"/>
          <w:spacing w:val="0"/>
          <w:sz w:val="24"/>
        </w:rPr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Zrušovací ustanovení</w:t>
      </w:r>
    </w:p>
    <w:p>
      <w:pPr>
        <w:pStyle w:val="Normal"/>
        <w:bidi w:val="0"/>
        <w:spacing w:lineRule="exact" w:line="288" w:before="120" w:after="0"/>
        <w:ind w:left="567" w:right="0" w:hanging="0"/>
        <w:jc w:val="both"/>
        <w:rPr/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Zrušuje se obecně závazná vyhláška č. 1/202</w:t>
      </w: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1</w:t>
      </w:r>
      <w:r>
        <w:rPr>
          <w:rFonts w:eastAsia="Arial" w:cs="Arial" w:ascii="Arial" w:hAnsi="Arial"/>
          <w:i/>
          <w:color w:val="auto"/>
          <w:spacing w:val="0"/>
          <w:sz w:val="22"/>
          <w:shd w:fill="auto" w:val="clear"/>
        </w:rPr>
        <w:t xml:space="preserve"> o místním poplatku za provoz v systému shromažďování, sběru, přepravy, třídění, využívání a odstraňování komunálních odpadů</w:t>
      </w: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 xml:space="preserve"> ze dne 12.11.2020</w:t>
      </w:r>
      <w:r>
        <w:rPr>
          <w:rFonts w:eastAsia="Arial" w:cs="Arial" w:ascii="Arial" w:hAnsi="Arial"/>
          <w:i/>
          <w:color w:val="auto"/>
          <w:spacing w:val="0"/>
          <w:sz w:val="22"/>
          <w:shd w:fill="auto" w:val="clear"/>
        </w:rPr>
        <w:t xml:space="preserve">. </w:t>
      </w:r>
    </w:p>
    <w:p>
      <w:pPr>
        <w:pStyle w:val="Normal"/>
        <w:bidi w:val="0"/>
        <w:spacing w:lineRule="exact" w:line="264" w:before="120" w:after="0"/>
        <w:ind w:left="567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</w:r>
    </w:p>
    <w:p>
      <w:pPr>
        <w:pStyle w:val="Normal"/>
        <w:keepNext w:val="true"/>
        <w:keepLines/>
        <w:bidi w:val="0"/>
        <w:spacing w:lineRule="exact" w:line="240" w:before="480" w:after="60"/>
        <w:ind w:left="0" w:right="0" w:hanging="0"/>
        <w:jc w:val="center"/>
        <w:rPr>
          <w:rFonts w:ascii="Arial" w:hAnsi="Arial" w:eastAsia="Arial" w:cs="Arial"/>
          <w:b/>
          <w:b/>
          <w:color w:val="auto"/>
          <w:spacing w:val="0"/>
          <w:sz w:val="24"/>
        </w:rPr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Čl. 13</w:t>
      </w:r>
    </w:p>
    <w:p>
      <w:pPr>
        <w:pStyle w:val="Normal"/>
        <w:keepNext w:val="true"/>
        <w:keepLines/>
        <w:bidi w:val="0"/>
        <w:spacing w:lineRule="exact" w:line="240" w:before="60" w:after="160"/>
        <w:ind w:left="0" w:right="0" w:hanging="0"/>
        <w:jc w:val="center"/>
        <w:rPr>
          <w:rFonts w:ascii="Arial" w:hAnsi="Arial" w:eastAsia="Arial" w:cs="Arial"/>
          <w:b/>
          <w:b/>
          <w:color w:val="auto"/>
          <w:spacing w:val="0"/>
          <w:sz w:val="24"/>
        </w:rPr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Účinnost</w:t>
      </w:r>
    </w:p>
    <w:p>
      <w:pPr>
        <w:pStyle w:val="Normal"/>
        <w:bidi w:val="0"/>
        <w:spacing w:lineRule="exact" w:line="288" w:before="120" w:after="0"/>
        <w:ind w:left="0" w:right="0" w:firstLine="708"/>
        <w:jc w:val="both"/>
        <w:rPr/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Tato vyhláška nabývá účinnosti dnem 1.1.202</w:t>
      </w: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3</w:t>
      </w: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 xml:space="preserve">. </w:t>
      </w:r>
    </w:p>
    <w:p>
      <w:pPr>
        <w:pStyle w:val="Normal"/>
        <w:keepNext w:val="true"/>
        <w:keepLines/>
        <w:bidi w:val="0"/>
        <w:spacing w:lineRule="exact" w:line="240" w:before="60" w:after="160"/>
        <w:ind w:left="0" w:right="0" w:hanging="0"/>
        <w:jc w:val="left"/>
        <w:rPr>
          <w:rFonts w:ascii="Arial" w:hAnsi="Arial" w:eastAsia="Arial" w:cs="Arial"/>
          <w:i/>
          <w:i/>
          <w:color w:val="1A4BD6"/>
          <w:spacing w:val="0"/>
          <w:sz w:val="24"/>
        </w:rPr>
      </w:pPr>
      <w:r>
        <w:rPr>
          <w:rFonts w:eastAsia="Arial" w:cs="Arial" w:ascii="Arial" w:hAnsi="Arial"/>
          <w:i/>
          <w:color w:val="1A4BD6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64" w:before="120" w:after="0"/>
        <w:ind w:left="0" w:right="0" w:firstLine="708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</w:r>
    </w:p>
    <w:p>
      <w:pPr>
        <w:pStyle w:val="Normal"/>
        <w:tabs>
          <w:tab w:val="clear" w:pos="709"/>
          <w:tab w:val="left" w:pos="1440" w:leader="none"/>
          <w:tab w:val="left" w:pos="7020" w:leader="none"/>
        </w:tabs>
        <w:bidi w:val="0"/>
        <w:spacing w:lineRule="exact" w:line="264" w:before="0" w:after="0"/>
        <w:ind w:left="0" w:right="0" w:hanging="0"/>
        <w:jc w:val="left"/>
        <w:rPr>
          <w:rFonts w:ascii="Arial" w:hAnsi="Arial" w:eastAsia="Arial" w:cs="Arial"/>
          <w:i/>
          <w:i/>
          <w:color w:val="auto"/>
          <w:spacing w:val="0"/>
          <w:sz w:val="22"/>
        </w:rPr>
      </w:pPr>
      <w:r>
        <w:rPr>
          <w:rFonts w:eastAsia="Arial" w:cs="Arial" w:ascii="Arial" w:hAnsi="Arial"/>
          <w:i/>
          <w:color w:val="auto"/>
          <w:spacing w:val="0"/>
          <w:sz w:val="22"/>
          <w:shd w:fill="auto" w:val="clear"/>
        </w:rPr>
        <w:tab/>
        <w:tab/>
      </w:r>
    </w:p>
    <w:p>
      <w:pPr>
        <w:pStyle w:val="Normal"/>
        <w:tabs>
          <w:tab w:val="clear" w:pos="709"/>
          <w:tab w:val="left" w:pos="720" w:leader="none"/>
          <w:tab w:val="left" w:pos="6120" w:leader="none"/>
        </w:tabs>
        <w:bidi w:val="0"/>
        <w:spacing w:lineRule="exact" w:line="264" w:before="0" w:after="0"/>
        <w:ind w:left="0" w:right="0" w:hanging="0"/>
        <w:jc w:val="left"/>
        <w:rPr>
          <w:rFonts w:ascii="Arial" w:hAnsi="Arial" w:eastAsia="Arial" w:cs="Arial"/>
          <w:i/>
          <w:i/>
          <w:color w:val="auto"/>
          <w:spacing w:val="0"/>
          <w:sz w:val="22"/>
        </w:rPr>
      </w:pPr>
      <w:r>
        <w:rPr>
          <w:rFonts w:eastAsia="Arial" w:cs="Arial" w:ascii="Arial" w:hAnsi="Arial"/>
          <w:i/>
          <w:color w:val="auto"/>
          <w:spacing w:val="0"/>
          <w:sz w:val="22"/>
          <w:shd w:fill="auto" w:val="clear"/>
        </w:rPr>
        <w:t>............................................                                                 .....................................</w:t>
      </w:r>
    </w:p>
    <w:p>
      <w:pPr>
        <w:pStyle w:val="Normal"/>
        <w:tabs>
          <w:tab w:val="clear" w:pos="709"/>
          <w:tab w:val="left" w:pos="1080" w:leader="none"/>
          <w:tab w:val="left" w:pos="6660" w:leader="none"/>
        </w:tabs>
        <w:bidi w:val="0"/>
        <w:spacing w:lineRule="exact" w:line="264" w:before="0" w:after="0"/>
        <w:ind w:left="0" w:right="0" w:hanging="0"/>
        <w:jc w:val="left"/>
        <w:rPr/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Pav</w:t>
      </w: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el</w:t>
      </w: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 xml:space="preserve"> Klím</w:t>
      </w: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 xml:space="preserve">a     </w:t>
      </w: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 xml:space="preserve">                                                                             Jiří Mráz</w:t>
        <w:tab/>
      </w:r>
    </w:p>
    <w:p>
      <w:pPr>
        <w:pStyle w:val="Normal"/>
        <w:tabs>
          <w:tab w:val="clear" w:pos="709"/>
          <w:tab w:val="left" w:pos="1080" w:leader="none"/>
          <w:tab w:val="left" w:pos="6660" w:leader="none"/>
        </w:tabs>
        <w:bidi w:val="0"/>
        <w:spacing w:lineRule="exact" w:line="264" w:before="0" w:after="0"/>
        <w:ind w:left="0" w:right="0" w:hanging="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místostarosta                                                                                starosta</w:t>
      </w:r>
    </w:p>
    <w:p>
      <w:pPr>
        <w:pStyle w:val="Normal"/>
        <w:tabs>
          <w:tab w:val="clear" w:pos="709"/>
          <w:tab w:val="left" w:pos="1080" w:leader="none"/>
          <w:tab w:val="left" w:pos="7020" w:leader="none"/>
        </w:tabs>
        <w:bidi w:val="0"/>
        <w:spacing w:lineRule="exact" w:line="264" w:before="0" w:after="0"/>
        <w:ind w:left="0" w:right="0" w:hanging="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</w:r>
    </w:p>
    <w:p>
      <w:pPr>
        <w:pStyle w:val="Normal"/>
        <w:tabs>
          <w:tab w:val="clear" w:pos="709"/>
          <w:tab w:val="left" w:pos="1080" w:leader="none"/>
          <w:tab w:val="left" w:pos="7020" w:leader="none"/>
        </w:tabs>
        <w:bidi w:val="0"/>
        <w:spacing w:lineRule="exact" w:line="264" w:before="120" w:after="0"/>
        <w:ind w:left="0" w:right="0" w:hanging="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</w:r>
    </w:p>
    <w:p>
      <w:pPr>
        <w:pStyle w:val="Normal"/>
        <w:tabs>
          <w:tab w:val="clear" w:pos="709"/>
          <w:tab w:val="left" w:pos="1080" w:leader="none"/>
          <w:tab w:val="left" w:pos="7020" w:leader="none"/>
        </w:tabs>
        <w:bidi w:val="0"/>
        <w:spacing w:lineRule="exact" w:line="264" w:before="120" w:after="0"/>
        <w:ind w:left="0" w:right="0" w:hanging="0"/>
        <w:jc w:val="left"/>
        <w:rPr/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Vyvěšeno na úřední desce dne: 1</w:t>
      </w: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5</w:t>
      </w: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.12.202</w:t>
      </w: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2</w:t>
      </w:r>
    </w:p>
    <w:p>
      <w:pPr>
        <w:pStyle w:val="Normal"/>
        <w:tabs>
          <w:tab w:val="clear" w:pos="709"/>
          <w:tab w:val="left" w:pos="1080" w:leader="none"/>
          <w:tab w:val="left" w:pos="7020" w:leader="none"/>
        </w:tabs>
        <w:bidi w:val="0"/>
        <w:spacing w:lineRule="exact" w:line="264" w:before="120" w:after="0"/>
        <w:ind w:left="0" w:right="0" w:hanging="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Sejmuto z úřední desky dne: 31.12.202</w:t>
      </w: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2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Arial"/>
      <w:color w:val="auto"/>
      <w:kern w:val="2"/>
      <w:sz w:val="22"/>
      <w:szCs w:val="24"/>
      <w:lang w:val="en-GB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LibreOffice/6.3.2.2$Windows_X86_64 LibreOffice_project/98b30e735bda24bc04ab42594c85f7fd8be07b9c</Application>
  <Pages>5</Pages>
  <Words>1146</Words>
  <Characters>6718</Characters>
  <CharactersWithSpaces>7983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en-GB</dc:language>
  <cp:lastModifiedBy/>
  <dcterms:modified xsi:type="dcterms:W3CDTF">2023-01-15T19:03:04Z</dcterms:modified>
  <cp:revision>1</cp:revision>
  <dc:subject/>
  <dc:title/>
</cp:coreProperties>
</file>