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lineRule="atLeast" w:line="280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</w:rPr>
        <w:t>OBEC  SKALIČKA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</w:rPr>
        <w:t>Zastupitelstvo obce  Skalička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</w:rPr>
        <w:t>Obecně závazná vyhláška obce  Skalička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místním poplatku za užívání veřejného prostranství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12" w:before="12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Zastupitelstvo obce Skalička se na svém zasedání dne </w:t>
      </w:r>
      <w:r>
        <w:rPr>
          <w:rFonts w:cs="Arial" w:ascii="Arial" w:hAnsi="Arial"/>
          <w:sz w:val="22"/>
          <w:szCs w:val="22"/>
        </w:rPr>
        <w:t xml:space="preserve">21.6.2023 </w:t>
      </w:r>
      <w:r>
        <w:rPr>
          <w:rFonts w:cs="Arial" w:ascii="Arial" w:hAnsi="Arial"/>
          <w:sz w:val="22"/>
          <w:szCs w:val="22"/>
        </w:rPr>
        <w:t xml:space="preserve">usnesením </w:t>
        <w:br/>
        <w:t xml:space="preserve">č. </w:t>
      </w:r>
      <w:r>
        <w:rPr>
          <w:rFonts w:cs="Arial" w:ascii="Arial" w:hAnsi="Arial"/>
          <w:sz w:val="22"/>
          <w:szCs w:val="22"/>
        </w:rPr>
        <w:t>4/5/2023</w:t>
      </w:r>
      <w:r>
        <w:rPr>
          <w:rFonts w:cs="Arial" w:ascii="Arial" w:hAnsi="Arial"/>
          <w:sz w:val="22"/>
          <w:szCs w:val="22"/>
        </w:rPr>
        <w:t xml:space="preserve"> usneslo vydat na základě § 14 zákona č. 565/1990 Sb., o místních poplatcích, ve znění pozdějších předpisů (dále jen „zákon o místních poplatcích“), a v souladu s § 10 písm.d) a § 84 odst. 2 písm. h) zákona č. 128/2000 Sb., o obcích (obecní zřízení), ve znění pozdějších předpisů, tuto obecně závaznou vyhlášku (dále jen „tato vyhláška“): </w:t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1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Úvodní ustanovení</w:t>
      </w:r>
    </w:p>
    <w:p>
      <w:pPr>
        <w:pStyle w:val="Normal"/>
        <w:numPr>
          <w:ilvl w:val="0"/>
          <w:numId w:val="1"/>
        </w:numPr>
        <w:spacing w:lineRule="auto" w:line="312" w:before="120" w:after="0"/>
        <w:jc w:val="both"/>
        <w:rPr/>
      </w:pPr>
      <w:r>
        <w:rPr>
          <w:rFonts w:cs="Arial" w:ascii="Arial" w:hAnsi="Arial"/>
          <w:sz w:val="22"/>
          <w:szCs w:val="22"/>
        </w:rPr>
        <w:t>Obec Skalička touto vyhláškou zavádí místní poplatek za užívání veřejného prostranství (dále jen „poplatek“).</w:t>
      </w:r>
    </w:p>
    <w:p>
      <w:pPr>
        <w:pStyle w:val="Normal"/>
        <w:numPr>
          <w:ilvl w:val="0"/>
          <w:numId w:val="1"/>
        </w:numPr>
        <w:spacing w:lineRule="auto" w:line="312" w:before="120" w:after="0"/>
        <w:jc w:val="both"/>
        <w:rPr/>
      </w:pPr>
      <w:r>
        <w:rPr>
          <w:rFonts w:cs="Arial" w:ascii="Arial" w:hAnsi="Arial"/>
          <w:sz w:val="22"/>
          <w:szCs w:val="22"/>
        </w:rPr>
        <w:t>Správcem poplatku je obecní úřad  Skalička.</w:t>
      </w:r>
      <w:r>
        <w:rPr>
          <w:rStyle w:val="Ukotvenpoznmkypodarou"/>
          <w:rFonts w:cs="Arial" w:ascii="Arial" w:hAnsi="Arial"/>
          <w:sz w:val="22"/>
          <w:szCs w:val="22"/>
          <w:vertAlign w:val="superscript"/>
        </w:rPr>
        <w:footnoteReference w:id="2"/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2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Předmět poplatku a poplatník</w:t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3"/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za užívání veřejného prostranství platí fyzické i právnické osoby, které užívají veřejné prostranství způsobem uvedeným v odstavci 1 (dále jen „poplatník“).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4"/>
      </w:r>
    </w:p>
    <w:p>
      <w:pPr>
        <w:pStyle w:val="Slalnk"/>
        <w:rPr>
          <w:rFonts w:ascii="Arial" w:hAnsi="Arial" w:cs="Arial"/>
          <w:b w:val="false"/>
          <w:b w:val="false"/>
          <w:szCs w:val="24"/>
        </w:rPr>
      </w:pPr>
      <w:r>
        <w:rPr>
          <w:rFonts w:cs="Arial" w:ascii="Arial" w:hAnsi="Arial"/>
          <w:szCs w:val="24"/>
        </w:rPr>
        <w:t xml:space="preserve">Čl. 3  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Veřejná prostranství </w:t>
      </w:r>
    </w:p>
    <w:p>
      <w:pPr>
        <w:pStyle w:val="Normal"/>
        <w:spacing w:lineRule="auto" w:line="312" w:before="120" w:after="0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 xml:space="preserve">Poplatek se platí za užívání těchto veřejných prostranství: </w:t>
      </w:r>
    </w:p>
    <w:p>
      <w:pPr>
        <w:pStyle w:val="Normal"/>
        <w:spacing w:lineRule="auto" w:line="312"/>
        <w:jc w:val="both"/>
        <w:rPr/>
      </w:pPr>
      <w:r>
        <w:rPr>
          <w:rFonts w:cs="Arial" w:ascii="Arial" w:hAnsi="Arial"/>
          <w:sz w:val="22"/>
          <w:szCs w:val="22"/>
        </w:rPr>
        <w:t>- sportovní areál a parkoviště u umělé vodní plochy</w:t>
      </w:r>
    </w:p>
    <w:p>
      <w:pPr>
        <w:pStyle w:val="Normal"/>
        <w:spacing w:lineRule="auto" w:line="312"/>
        <w:jc w:val="both"/>
        <w:rPr/>
      </w:pPr>
      <w:r>
        <w:rPr>
          <w:rFonts w:cs="Arial" w:ascii="Arial" w:hAnsi="Arial"/>
          <w:sz w:val="22"/>
          <w:szCs w:val="22"/>
        </w:rPr>
        <w:t>- sportovní areál a parkoviště u hřiště</w:t>
      </w:r>
    </w:p>
    <w:p>
      <w:pPr>
        <w:pStyle w:val="Normal"/>
        <w:spacing w:lineRule="auto" w:line="312"/>
        <w:jc w:val="both"/>
        <w:rPr>
          <w:rFonts w:ascii="Arial" w:hAnsi="Arial" w:cs="Arial"/>
          <w:i/>
          <w:i/>
          <w:color w:val="0070C0"/>
          <w:sz w:val="20"/>
          <w:szCs w:val="20"/>
          <w:u w:val="single"/>
        </w:rPr>
      </w:pPr>
      <w:r>
        <w:rPr>
          <w:rFonts w:cs="Arial" w:ascii="Arial" w:hAnsi="Arial"/>
          <w:i/>
          <w:color w:val="0070C0"/>
          <w:sz w:val="20"/>
          <w:szCs w:val="20"/>
          <w:u w:val="single"/>
        </w:rPr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4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Ohlašovací povinnost</w:t>
      </w:r>
    </w:p>
    <w:p>
      <w:pPr>
        <w:pStyle w:val="Normal"/>
        <w:numPr>
          <w:ilvl w:val="0"/>
          <w:numId w:val="3"/>
        </w:numPr>
        <w:spacing w:lineRule="auto" w:line="312" w:before="120" w:after="0"/>
        <w:jc w:val="both"/>
        <w:rPr/>
      </w:pPr>
      <w:r>
        <w:rPr>
          <w:rFonts w:cs="Arial" w:ascii="Arial" w:hAnsi="Arial"/>
          <w:sz w:val="22"/>
          <w:szCs w:val="22"/>
        </w:rPr>
        <w:t>Poplatník je povinen ohlásit zvláštní užívání veřejného prostranství správci poplatku nejpozději 7 dní před zahájením užívání veřejného prostranství. V případě užívání veřejného prostranství po dobu kratší než 7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>
      <w:pPr>
        <w:pStyle w:val="Normal"/>
        <w:numPr>
          <w:ilvl w:val="0"/>
          <w:numId w:val="3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ohlášení poplatník uvede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5"/>
      </w:r>
    </w:p>
    <w:p>
      <w:pPr>
        <w:pStyle w:val="Normal"/>
        <w:numPr>
          <w:ilvl w:val="1"/>
          <w:numId w:val="3"/>
        </w:numPr>
        <w:spacing w:lineRule="auto" w:line="31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>
      <w:pPr>
        <w:pStyle w:val="Normal"/>
        <w:numPr>
          <w:ilvl w:val="1"/>
          <w:numId w:val="3"/>
        </w:numPr>
        <w:spacing w:lineRule="auto" w:line="31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>
      <w:pPr>
        <w:pStyle w:val="Normal"/>
        <w:numPr>
          <w:ilvl w:val="1"/>
          <w:numId w:val="3"/>
        </w:numPr>
        <w:spacing w:lineRule="auto" w:line="312"/>
        <w:jc w:val="both"/>
        <w:rPr/>
      </w:pPr>
      <w:r>
        <w:rPr>
          <w:rFonts w:cs="Arial" w:ascii="Arial" w:hAnsi="Arial"/>
          <w:sz w:val="22"/>
          <w:szCs w:val="22"/>
        </w:rPr>
        <w:t>další údaje rozhodné pro stanovení poplatku, zejména předpokládanou dobu, způsob, místo a výměru užívání veřejného prostranství, včetně skutečností zakládajících nárok na případné osvobození od poplatku.</w:t>
      </w:r>
    </w:p>
    <w:p>
      <w:pPr>
        <w:pStyle w:val="Normal"/>
        <w:numPr>
          <w:ilvl w:val="0"/>
          <w:numId w:val="3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6"/>
      </w:r>
    </w:p>
    <w:p>
      <w:pPr>
        <w:pStyle w:val="Normal"/>
        <w:numPr>
          <w:ilvl w:val="0"/>
          <w:numId w:val="3"/>
        </w:numPr>
        <w:spacing w:lineRule="auto" w:line="312" w:before="12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Dojde-li ke změně údajů uvedených v ohlášení, je poplatník povinen tuto změnu oznámit do 15 dnů </w:t>
      </w:r>
      <w:r>
        <w:rPr>
          <w:rFonts w:cs="Arial" w:ascii="Arial" w:hAnsi="Arial"/>
          <w:i/>
          <w:color w:val="0070C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ode dne, kdy nastala.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7"/>
      </w:r>
    </w:p>
    <w:p>
      <w:pPr>
        <w:pStyle w:val="Normal"/>
        <w:numPr>
          <w:ilvl w:val="0"/>
          <w:numId w:val="3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8"/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5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Sazba poplatku</w:t>
      </w:r>
    </w:p>
    <w:p>
      <w:pPr>
        <w:pStyle w:val="Normal"/>
        <w:numPr>
          <w:ilvl w:val="0"/>
          <w:numId w:val="0"/>
        </w:numPr>
        <w:spacing w:lineRule="auto" w:line="312" w:before="120" w:after="0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Sazba poplatku činí za každý i započatý m</w:t>
      </w:r>
      <w:r>
        <w:rPr>
          <w:rFonts w:cs="Arial" w:ascii="Arial" w:hAnsi="Arial"/>
          <w:sz w:val="22"/>
          <w:szCs w:val="22"/>
          <w:vertAlign w:val="superscript"/>
        </w:rPr>
        <w:t>2</w:t>
      </w:r>
      <w:r>
        <w:rPr>
          <w:rFonts w:cs="Arial" w:ascii="Arial" w:hAnsi="Arial"/>
          <w:sz w:val="22"/>
          <w:szCs w:val="22"/>
        </w:rPr>
        <w:t xml:space="preserve"> a každý i započatý den: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rPr/>
      </w:pPr>
      <w:r>
        <w:rPr>
          <w:rFonts w:cs="Arial" w:ascii="Arial" w:hAnsi="Arial"/>
          <w:sz w:val="22"/>
          <w:szCs w:val="22"/>
        </w:rPr>
        <w:t>za umístění dočasných staveb a zařízení sloužících pro poskytování služeb  3 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rPr/>
      </w:pPr>
      <w:r>
        <w:rPr>
          <w:rFonts w:cs="Arial" w:ascii="Arial" w:hAnsi="Arial"/>
          <w:sz w:val="22"/>
          <w:szCs w:val="22"/>
        </w:rPr>
        <w:t>za umístění dočasných staveb</w:t>
      </w: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sloužících pro poskytování prodeje…..……    5 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i/>
          <w:iCs/>
          <w:sz w:val="22"/>
          <w:szCs w:val="22"/>
          <w:u w:val="none"/>
        </w:rPr>
        <w:t>za umístění zařízení sloužících pro poskytování prodeje..........................…</w:t>
      </w:r>
      <w:r>
        <w:rPr>
          <w:rFonts w:cs="Arial" w:ascii="Arial" w:hAnsi="Arial"/>
          <w:sz w:val="22"/>
          <w:szCs w:val="22"/>
        </w:rPr>
        <w:t xml:space="preserve">10 </w:t>
        <w:tab/>
        <w:t>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sz w:val="22"/>
          <w:szCs w:val="22"/>
        </w:rPr>
        <w:t>za provádění výkopových prací ..............................................................…    5 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sz w:val="22"/>
          <w:szCs w:val="22"/>
        </w:rPr>
        <w:t>za umístění stavebních zařízení .............................................................…    5 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i/>
          <w:iCs/>
          <w:sz w:val="22"/>
          <w:szCs w:val="22"/>
          <w:u w:val="none"/>
        </w:rPr>
        <w:t xml:space="preserve">za umístění reklamních zařízení </w:t>
      </w:r>
      <w:r>
        <w:rPr>
          <w:rFonts w:cs="Arial" w:ascii="Arial" w:hAnsi="Arial"/>
          <w:i/>
          <w:iCs/>
          <w:sz w:val="22"/>
          <w:szCs w:val="22"/>
        </w:rPr>
        <w:t xml:space="preserve">.............................................................…   5 </w:t>
      </w:r>
      <w:r>
        <w:rPr>
          <w:rFonts w:cs="Arial" w:ascii="Arial" w:hAnsi="Arial"/>
          <w:iCs/>
          <w:sz w:val="22"/>
          <w:szCs w:val="22"/>
        </w:rPr>
        <w:t>K</w:t>
      </w:r>
      <w:r>
        <w:rPr>
          <w:rFonts w:cs="Arial" w:ascii="Arial" w:hAnsi="Arial"/>
          <w:sz w:val="22"/>
          <w:szCs w:val="22"/>
        </w:rPr>
        <w:t>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rPr/>
      </w:pP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>za umístění zařízení lunaparků a jiných obdobných atrakcí</w:t>
      </w:r>
      <w:r>
        <w:rPr>
          <w:rFonts w:cs="Arial" w:ascii="Arial" w:hAnsi="Arial"/>
          <w:iCs/>
          <w:sz w:val="22"/>
          <w:szCs w:val="22"/>
        </w:rPr>
        <w:t xml:space="preserve"> ....................…  10 Kč</w:t>
      </w:r>
      <w:r>
        <w:rPr>
          <w:rFonts w:cs="Arial" w:ascii="Arial" w:hAnsi="Arial"/>
          <w:iCs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sz w:val="22"/>
          <w:szCs w:val="22"/>
        </w:rPr>
        <w:t>za umístění zařízení cirkusů ....................................................................…  10 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sz w:val="22"/>
          <w:szCs w:val="22"/>
        </w:rPr>
        <w:t>za umístění skládek .......................................................................................5 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sz w:val="22"/>
          <w:szCs w:val="22"/>
        </w:rPr>
        <w:t>za vyhrazení trvalého parkovacího místa ......................................................5 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sz w:val="22"/>
          <w:szCs w:val="22"/>
        </w:rPr>
        <w:t>za užívání veřejného prostranství pro kulturní akce ......................................10 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sz w:val="22"/>
          <w:szCs w:val="22"/>
        </w:rPr>
        <w:t>za užívání veřejného prostranství pro sportovní akce ...................................10 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sz w:val="22"/>
          <w:szCs w:val="22"/>
        </w:rPr>
        <w:t>za užívání veřejného prostranství pro reklamní akce ..............................…..10 Kč</w:t>
      </w:r>
      <w:r>
        <w:rPr>
          <w:rFonts w:cs="Arial" w:ascii="Arial" w:hAnsi="Arial"/>
          <w:color w:val="FF0000"/>
          <w:sz w:val="22"/>
          <w:szCs w:val="22"/>
        </w:rPr>
        <w:t>,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640" w:leader="none"/>
        </w:tabs>
        <w:spacing w:lineRule="auto" w:line="312" w:before="60" w:after="0"/>
        <w:jc w:val="both"/>
        <w:rPr/>
      </w:pPr>
      <w:r>
        <w:rPr>
          <w:rFonts w:cs="Arial" w:ascii="Arial" w:hAnsi="Arial"/>
          <w:sz w:val="22"/>
          <w:szCs w:val="22"/>
        </w:rPr>
        <w:t>za užívání veřejného prostranství pro potřeby tvorby filmových a televizních děl..................................................................................................................10 Kč.</w:t>
      </w:r>
    </w:p>
    <w:p>
      <w:pPr>
        <w:pStyle w:val="Normal"/>
        <w:tabs>
          <w:tab w:val="clear" w:pos="708"/>
          <w:tab w:val="left" w:pos="3780" w:leader="none"/>
        </w:tabs>
        <w:ind w:left="567" w:hanging="0"/>
        <w:jc w:val="both"/>
        <w:rPr>
          <w:rFonts w:ascii="Arial" w:hAnsi="Arial" w:cs="Arial"/>
          <w:i/>
          <w:i/>
          <w:color w:val="0070C0"/>
          <w:sz w:val="20"/>
          <w:szCs w:val="20"/>
        </w:rPr>
      </w:pPr>
      <w:r>
        <w:rPr>
          <w:rFonts w:cs="Arial" w:ascii="Arial" w:hAnsi="Arial"/>
          <w:i/>
          <w:color w:val="0070C0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312" w:before="120" w:after="0"/>
        <w:ind w:left="567" w:hanging="0"/>
        <w:jc w:val="both"/>
        <w:rPr>
          <w:rFonts w:ascii="Arial" w:hAnsi="Arial" w:cs="Arial"/>
          <w:i/>
          <w:i/>
          <w:iCs/>
          <w:color w:val="0070C0"/>
          <w:sz w:val="20"/>
          <w:szCs w:val="20"/>
        </w:rPr>
      </w:pPr>
      <w:r>
        <w:rPr>
          <w:rFonts w:cs="Arial" w:ascii="Arial" w:hAnsi="Arial"/>
          <w:i/>
          <w:iCs/>
          <w:color w:val="0070C0"/>
          <w:sz w:val="20"/>
          <w:szCs w:val="20"/>
        </w:rPr>
      </w:r>
    </w:p>
    <w:p>
      <w:pPr>
        <w:pStyle w:val="Slalnk"/>
        <w:rPr/>
      </w:pPr>
      <w:r>
        <w:rPr>
          <w:rFonts w:cs="Arial" w:ascii="Arial" w:hAnsi="Arial"/>
          <w:szCs w:val="24"/>
        </w:rPr>
        <w:t>Čl. 6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Splatnost poplatku </w:t>
      </w:r>
    </w:p>
    <w:p>
      <w:pPr>
        <w:pStyle w:val="Nzvylnk"/>
        <w:spacing w:lineRule="auto" w:line="312" w:before="12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Poplatek je splatný ve lhůtě do 3 dnů ode dne zahájení  užívání veřejného prostranství.</w:t>
      </w:r>
    </w:p>
    <w:p>
      <w:pPr>
        <w:pStyle w:val="Normal"/>
        <w:numPr>
          <w:ilvl w:val="0"/>
          <w:numId w:val="0"/>
        </w:numPr>
        <w:spacing w:lineRule="auto" w:line="312" w:before="120" w:after="0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Připadne-li konec lhůty splatnosti na sobotu, neděli nebo státem uznaný svátek, je dnem, ve kterém je poplatník povinen svoji povinnost splnit, nejblíže následující pracovní den.</w:t>
      </w:r>
    </w:p>
    <w:p>
      <w:pPr>
        <w:pStyle w:val="Normal"/>
        <w:spacing w:lineRule="auto" w:line="312" w:before="36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Čl. 7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numPr>
          <w:ilvl w:val="0"/>
          <w:numId w:val="5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neplatí:</w:t>
      </w:r>
    </w:p>
    <w:p>
      <w:pPr>
        <w:pStyle w:val="Normal"/>
        <w:spacing w:lineRule="auto" w:line="312" w:before="6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za vyhrazení trvalého parkovacího místa pro osobu, která je držitelem průkazu ZTP nebo ZTP/P,</w:t>
      </w:r>
    </w:p>
    <w:p>
      <w:pPr>
        <w:pStyle w:val="Normal"/>
        <w:spacing w:lineRule="auto" w:line="312" w:before="6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z akcí pořádaných na veřejném prostranství, jejichž celý výtěžek je odveden na charitativní a veřejně prospěšné účely</w:t>
      </w:r>
      <w:r>
        <w:rPr>
          <w:rStyle w:val="Ukotvenpoznmkypodarou"/>
          <w:rFonts w:cs="Arial" w:ascii="Arial" w:hAnsi="Arial"/>
          <w:sz w:val="22"/>
          <w:szCs w:val="22"/>
        </w:rPr>
        <w:footnoteReference w:id="9"/>
      </w:r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5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 poplatku se dále osvobozují:</w:t>
      </w:r>
    </w:p>
    <w:p>
      <w:pPr>
        <w:pStyle w:val="Normal"/>
        <w:numPr>
          <w:ilvl w:val="0"/>
          <w:numId w:val="0"/>
        </w:numPr>
        <w:spacing w:lineRule="auto" w:line="312" w:before="60" w:after="0"/>
        <w:ind w:left="1021" w:hanging="0"/>
        <w:jc w:val="both"/>
        <w:rPr/>
      </w:pPr>
      <w:r>
        <w:rPr>
          <w:rFonts w:cs="Arial" w:ascii="Arial" w:hAnsi="Arial"/>
          <w:sz w:val="22"/>
          <w:szCs w:val="22"/>
        </w:rPr>
        <w:t>kulturní a sportovní  akce pořádané občany obce Skalička</w:t>
      </w:r>
    </w:p>
    <w:p>
      <w:pPr>
        <w:pStyle w:val="Normal"/>
        <w:tabs>
          <w:tab w:val="clear" w:pos="708"/>
          <w:tab w:val="left" w:pos="3780" w:leader="none"/>
        </w:tabs>
        <w:ind w:left="567" w:hanging="0"/>
        <w:jc w:val="both"/>
        <w:rPr>
          <w:rFonts w:ascii="Arial" w:hAnsi="Arial" w:cs="Arial"/>
          <w:i/>
          <w:i/>
          <w:color w:val="0070C0"/>
          <w:sz w:val="20"/>
          <w:szCs w:val="20"/>
        </w:rPr>
      </w:pPr>
      <w:r>
        <w:rPr>
          <w:rFonts w:cs="Arial" w:ascii="Arial" w:hAnsi="Arial"/>
          <w:i/>
          <w:color w:val="0070C0"/>
          <w:sz w:val="20"/>
          <w:szCs w:val="20"/>
        </w:rPr>
      </w:r>
    </w:p>
    <w:p>
      <w:pPr>
        <w:pStyle w:val="Normal"/>
        <w:numPr>
          <w:ilvl w:val="0"/>
          <w:numId w:val="5"/>
        </w:numPr>
        <w:spacing w:lineRule="auto" w:line="312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0"/>
      </w:r>
    </w:p>
    <w:p>
      <w:pPr>
        <w:pStyle w:val="Slalnk"/>
        <w:rPr/>
      </w:pPr>
      <w:r>
        <w:rPr>
          <w:rFonts w:cs="Arial" w:ascii="Arial" w:hAnsi="Arial"/>
          <w:szCs w:val="24"/>
        </w:rPr>
        <w:t>Čl. 8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Navýšení poplatku</w:t>
      </w:r>
      <w:r>
        <w:rPr>
          <w:szCs w:val="24"/>
        </w:rPr>
        <w:t xml:space="preserve"> </w:t>
      </w:r>
    </w:p>
    <w:p>
      <w:pPr>
        <w:pStyle w:val="Normal"/>
        <w:numPr>
          <w:ilvl w:val="0"/>
          <w:numId w:val="6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cs="Arial" w:ascii="Arial" w:hAnsi="Arial"/>
          <w:sz w:val="22"/>
          <w:szCs w:val="22"/>
          <w:vertAlign w:val="superscript"/>
        </w:rPr>
        <w:footnoteReference w:id="11"/>
      </w:r>
    </w:p>
    <w:p>
      <w:pPr>
        <w:pStyle w:val="Normal"/>
        <w:numPr>
          <w:ilvl w:val="0"/>
          <w:numId w:val="6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cs="Arial" w:ascii="Arial" w:hAnsi="Arial"/>
          <w:sz w:val="22"/>
          <w:szCs w:val="22"/>
          <w:vertAlign w:val="superscript"/>
        </w:rPr>
        <w:footnoteReference w:id="12"/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9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Zrušovací ustanovení</w:t>
      </w:r>
    </w:p>
    <w:p>
      <w:pPr>
        <w:pStyle w:val="Normal"/>
        <w:spacing w:lineRule="auto" w:line="312" w:before="120" w:after="0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Zrušuje se obecně závazná vyhláška č. 4/2023 o místních poplatcích</w:t>
      </w:r>
      <w:r>
        <w:rPr>
          <w:rFonts w:cs="Arial" w:ascii="Arial" w:hAnsi="Arial"/>
          <w:i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ze dne 15.12.2022.</w:t>
      </w:r>
    </w:p>
    <w:p>
      <w:pPr>
        <w:pStyle w:val="Sla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10</w:t>
      </w:r>
    </w:p>
    <w:p>
      <w:pPr>
        <w:pStyle w:val="Nzvylnk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Účinnost</w:t>
      </w:r>
    </w:p>
    <w:p>
      <w:pPr>
        <w:pStyle w:val="Nzvylnk"/>
        <w:jc w:val="left"/>
        <w:rPr>
          <w:rFonts w:ascii="Arial" w:hAnsi="Arial" w:cs="Arial"/>
          <w:color w:val="0070C0"/>
        </w:rPr>
      </w:pPr>
      <w:r>
        <w:rPr>
          <w:rFonts w:cs="Arial" w:ascii="Arial" w:hAnsi="Arial"/>
          <w:color w:val="0070C0"/>
        </w:rPr>
      </w:r>
    </w:p>
    <w:p>
      <w:pPr>
        <w:pStyle w:val="Normal"/>
        <w:spacing w:lineRule="auto" w:line="312" w:before="120"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vyhláška nabývá účinnosti počátkem patnáctého dne následujícího po dni jejího zveřejnění ve Sbírce právních předpisů územních samosprávných celků a některých správních úřadů. </w:t>
      </w:r>
    </w:p>
    <w:p>
      <w:pPr>
        <w:pStyle w:val="Nzvylnk"/>
        <w:jc w:val="left"/>
        <w:rPr>
          <w:rFonts w:ascii="Arial" w:hAnsi="Arial" w:cs="Arial"/>
          <w:b w:val="false"/>
          <w:b w:val="false"/>
          <w:bCs w:val="false"/>
          <w:i/>
          <w:i/>
          <w:color w:val="0070C0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color w:val="0070C0"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312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312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312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312" w:before="0" w:after="0"/>
        <w:rPr/>
      </w:pPr>
      <w:r>
        <w:rPr>
          <w:rFonts w:cs="Arial" w:ascii="Arial" w:hAnsi="Arial"/>
          <w:i/>
        </w:rPr>
        <w:tab/>
      </w:r>
    </w:p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lineRule="auto" w:line="312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  <w:t>...................................</w:t>
        <w:tab/>
        <w:t>..........................................</w:t>
      </w:r>
    </w:p>
    <w:p>
      <w:pPr>
        <w:pStyle w:val="Tlotextu"/>
        <w:tabs>
          <w:tab w:val="clear" w:pos="708"/>
          <w:tab w:val="left" w:pos="1080" w:leader="none"/>
          <w:tab w:val="left" w:pos="6660" w:leader="none"/>
        </w:tabs>
        <w:spacing w:lineRule="auto" w:line="312" w:before="0" w:after="0"/>
        <w:rPr/>
      </w:pPr>
      <w:r>
        <w:rPr>
          <w:rFonts w:cs="Arial" w:ascii="Arial" w:hAnsi="Arial"/>
        </w:rPr>
        <w:tab/>
        <w:t>Pavel Klíma v.r.</w:t>
        <w:tab/>
        <w:t>Jiří Mráz v.r.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312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>místostarosta</w:t>
        <w:tab/>
        <w:t>starosta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312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312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80" w:leader="none"/>
          <w:tab w:val="left" w:pos="7020" w:leader="none"/>
        </w:tabs>
        <w:bidi w:val="0"/>
        <w:spacing w:lineRule="exact" w:line="264" w:before="120" w:after="0"/>
        <w:ind w:left="0" w:right="0" w:hanging="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jc w:val="both"/>
        <w:rPr/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15 odst. 1 zákona o místních poplatcích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4 odst. 1 zákona o místních poplatcích</w:t>
      </w:r>
    </w:p>
  </w:footnote>
  <w:footnote w:id="4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4 odst. 2 zákona o místních poplatcích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14a odst. 2 zákona o místních poplatcích</w:t>
      </w:r>
    </w:p>
  </w:footnote>
  <w:footnote w:id="6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14a odst. 3 zákona o místních poplatcích</w:t>
      </w:r>
    </w:p>
  </w:footnote>
  <w:footnote w:id="7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14a odst. 4 zákona o místních poplatcích</w:t>
      </w:r>
    </w:p>
  </w:footnote>
  <w:footnote w:id="8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14a odst. 5 zákona o místních poplatcích</w:t>
      </w:r>
    </w:p>
  </w:footnote>
  <w:footnote w:id="9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 w:ascii="Arial" w:hAnsi="Arial"/>
        </w:rPr>
        <w:t>8</w:t>
      </w:r>
      <w:r>
        <w:rPr/>
        <w:t xml:space="preserve"> </w:t>
      </w:r>
      <w:r>
        <w:rPr>
          <w:rFonts w:cs="Arial" w:ascii="Arial" w:hAnsi="Arial"/>
        </w:rPr>
        <w:t>§ 4 odst. 1 zákona o místních poplatcích</w:t>
      </w:r>
    </w:p>
  </w:footnote>
  <w:footnote w:id="10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14a odst. 6 zákona o místních poplatcích</w:t>
      </w:r>
    </w:p>
  </w:footnote>
  <w:footnote w:id="11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vertAlign w:val="superscript"/>
        </w:rPr>
        <w:t>10</w:t>
      </w:r>
      <w:r>
        <w:rPr>
          <w:rFonts w:cs="Arial" w:ascii="Arial" w:hAnsi="Arial"/>
        </w:rPr>
        <w:t xml:space="preserve"> § 11 odst. 1 zákona o místních poplatcích</w:t>
      </w:r>
    </w:p>
  </w:footnote>
  <w:footnote w:id="1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 w:ascii="Arial" w:hAnsi="Arial"/>
        </w:rPr>
        <w:t>1</w:t>
      </w:r>
      <w:r>
        <w:rPr>
          <w:rFonts w:cs="Arial" w:ascii="Arial" w:hAnsi="Arial"/>
          <w:vertAlign w:val="superscript"/>
        </w:rPr>
        <w:t>1</w:t>
      </w:r>
      <w:r>
        <w:rPr>
          <w:rFonts w:cs="Arial" w:ascii="Arial" w:hAnsi="Arial"/>
        </w:rPr>
        <w:t xml:space="preserve"> § 11 odst. 3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emboss w:val="false"/>
        <w:imprint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emboss w:val="false"/>
        <w:imprint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emboss w:val="false"/>
        <w:imprint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2"/>
        <w:sz w:val="22"/>
        <w:i w:val="false"/>
        <w:shadow w:val="false"/>
        <w:b w:val="false"/>
        <w:emboss w:val="false"/>
        <w:imprint w:val="false"/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53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uiPriority w:val="99"/>
    <w:qFormat/>
    <w:rsid w:val="00a7253d"/>
    <w:pPr>
      <w:keepNext w:val="true"/>
      <w:jc w:val="both"/>
      <w:outlineLvl w:val="1"/>
    </w:pPr>
    <w:rPr>
      <w:u w:val="single"/>
    </w:rPr>
  </w:style>
  <w:style w:type="paragraph" w:styleId="Nadpis6">
    <w:name w:val="Heading 6"/>
    <w:basedOn w:val="Normal"/>
    <w:next w:val="Normal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Nadpis2"/>
    <w:uiPriority w:val="99"/>
    <w:semiHidden/>
    <w:qFormat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styleId="Nadpis6Char" w:customStyle="1">
    <w:name w:val="Nadpis 6 Char"/>
    <w:link w:val="Nadpis6"/>
    <w:uiPriority w:val="99"/>
    <w:semiHidden/>
    <w:qFormat/>
    <w:rsid w:val="0032333a"/>
    <w:rPr>
      <w:rFonts w:ascii="Calibri" w:hAnsi="Calibri" w:cs="Calibri"/>
      <w:b/>
      <w:bCs/>
      <w:sz w:val="22"/>
      <w:szCs w:val="22"/>
    </w:rPr>
  </w:style>
  <w:style w:type="character" w:styleId="ZkladntextodsazenChar" w:customStyle="1">
    <w:name w:val="Základní text odsazený Char"/>
    <w:link w:val="Zkladntextodsazen"/>
    <w:uiPriority w:val="99"/>
    <w:semiHidden/>
    <w:qFormat/>
    <w:rsid w:val="001b2023"/>
    <w:rPr>
      <w:sz w:val="24"/>
      <w:szCs w:val="24"/>
    </w:rPr>
  </w:style>
  <w:style w:type="character" w:styleId="Zkladntextodsazen2Char" w:customStyle="1">
    <w:name w:val="Základní text odsazený 2 Char"/>
    <w:link w:val="Zkladntextodsazen2"/>
    <w:uiPriority w:val="99"/>
    <w:semiHidden/>
    <w:qFormat/>
    <w:rsid w:val="001b2023"/>
    <w:rPr>
      <w:sz w:val="24"/>
      <w:szCs w:val="24"/>
    </w:rPr>
  </w:style>
  <w:style w:type="character" w:styleId="ZhlavChar" w:customStyle="1">
    <w:name w:val="Záhlaví Char"/>
    <w:link w:val="Zhlav"/>
    <w:uiPriority w:val="99"/>
    <w:semiHidden/>
    <w:qFormat/>
    <w:rsid w:val="001b2023"/>
    <w:rPr>
      <w:sz w:val="24"/>
      <w:szCs w:val="24"/>
    </w:rPr>
  </w:style>
  <w:style w:type="character" w:styleId="ZkladntextChar" w:customStyle="1">
    <w:name w:val="Základní text Char"/>
    <w:link w:val="Zkladntext"/>
    <w:uiPriority w:val="99"/>
    <w:qFormat/>
    <w:rsid w:val="001b2023"/>
    <w:rPr>
      <w:sz w:val="24"/>
      <w:szCs w:val="24"/>
    </w:rPr>
  </w:style>
  <w:style w:type="character" w:styleId="TextpoznpodarouChar" w:customStyle="1">
    <w:name w:val="Text pozn. pod čarou Char"/>
    <w:link w:val="Textpoznpodarou"/>
    <w:semiHidden/>
    <w:qFormat/>
    <w:rsid w:val="001b2023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a7253d"/>
    <w:rPr>
      <w:vertAlign w:val="superscript"/>
    </w:rPr>
  </w:style>
  <w:style w:type="character" w:styleId="Annotationreference">
    <w:name w:val="annotation reference"/>
    <w:uiPriority w:val="99"/>
    <w:semiHidden/>
    <w:qFormat/>
    <w:rsid w:val="00a7253d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1b2023"/>
    <w:rPr>
      <w:sz w:val="20"/>
      <w:szCs w:val="20"/>
    </w:rPr>
  </w:style>
  <w:style w:type="character" w:styleId="Zkladntextodsazen3Char" w:customStyle="1">
    <w:name w:val="Základní text odsazený 3 Char"/>
    <w:link w:val="Zkladntextodsazen3"/>
    <w:uiPriority w:val="99"/>
    <w:semiHidden/>
    <w:qFormat/>
    <w:rsid w:val="001b2023"/>
    <w:rPr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qFormat/>
    <w:rsid w:val="001b2023"/>
    <w:rPr>
      <w:sz w:val="2"/>
      <w:szCs w:val="2"/>
    </w:rPr>
  </w:style>
  <w:style w:type="character" w:styleId="Zkladntext3Char" w:customStyle="1">
    <w:name w:val="Základní text 3 Char"/>
    <w:link w:val="Zkladntext3"/>
    <w:uiPriority w:val="99"/>
    <w:semiHidden/>
    <w:qFormat/>
    <w:rsid w:val="0032333a"/>
    <w:rPr>
      <w:sz w:val="16"/>
      <w:szCs w:val="16"/>
    </w:rPr>
  </w:style>
  <w:style w:type="character" w:styleId="Zkladntext2Char" w:customStyle="1">
    <w:name w:val="Základní text 2 Char"/>
    <w:link w:val="Zkladntext2"/>
    <w:uiPriority w:val="99"/>
    <w:semiHidden/>
    <w:qFormat/>
    <w:rsid w:val="0032333a"/>
    <w:rPr>
      <w:sz w:val="24"/>
      <w:szCs w:val="24"/>
    </w:rPr>
  </w:style>
  <w:style w:type="character" w:styleId="NzevChar" w:customStyle="1">
    <w:name w:val="Název Char"/>
    <w:link w:val="Nzev"/>
    <w:uiPriority w:val="99"/>
    <w:qFormat/>
    <w:rsid w:val="0032333a"/>
    <w:rPr>
      <w:rFonts w:ascii="Cambria" w:hAnsi="Cambria" w:cs="Cambria"/>
      <w:b/>
      <w:bCs/>
      <w:kern w:val="2"/>
      <w:sz w:val="32"/>
      <w:szCs w:val="32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a7253d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azentlatextu">
    <w:name w:val="Body Text Indent"/>
    <w:basedOn w:val="Normal"/>
    <w:link w:val="ZkladntextodsazenChar"/>
    <w:uiPriority w:val="99"/>
    <w:rsid w:val="00a7253d"/>
    <w:pPr>
      <w:ind w:left="708" w:firstLine="357"/>
      <w:jc w:val="both"/>
    </w:pPr>
    <w:rPr/>
  </w:style>
  <w:style w:type="paragraph" w:styleId="BodyTextIndent2">
    <w:name w:val="Body Text Indent 2"/>
    <w:basedOn w:val="Normal"/>
    <w:link w:val="Zkladntextodsazen2Char"/>
    <w:uiPriority w:val="99"/>
    <w:qFormat/>
    <w:rsid w:val="00a7253d"/>
    <w:pPr>
      <w:ind w:left="708" w:firstLine="360"/>
      <w:jc w:val="both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a725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a7253d"/>
    <w:pPr/>
    <w:rPr>
      <w:sz w:val="20"/>
      <w:szCs w:val="20"/>
    </w:rPr>
  </w:style>
  <w:style w:type="paragraph" w:styleId="NormlnIMP" w:customStyle="1">
    <w:name w:val="Normální_IMP"/>
    <w:basedOn w:val="Normal"/>
    <w:uiPriority w:val="99"/>
    <w:qFormat/>
    <w:rsid w:val="00a7253d"/>
    <w:pPr>
      <w:suppressAutoHyphens w:val="true"/>
      <w:overflowPunct w:val="false"/>
      <w:spacing w:lineRule="auto" w:line="228"/>
      <w:jc w:val="both"/>
      <w:textAlignment w:val="baseline"/>
    </w:pPr>
    <w:rPr/>
  </w:style>
  <w:style w:type="paragraph" w:styleId="Annotationtext">
    <w:name w:val="annotation text"/>
    <w:basedOn w:val="Normal"/>
    <w:link w:val="TextkomenteChar"/>
    <w:uiPriority w:val="99"/>
    <w:semiHidden/>
    <w:qFormat/>
    <w:rsid w:val="00a7253d"/>
    <w:pPr/>
    <w:rPr>
      <w:sz w:val="20"/>
      <w:szCs w:val="20"/>
    </w:rPr>
  </w:style>
  <w:style w:type="paragraph" w:styleId="BodyTextIndent3">
    <w:name w:val="Body Text Indent 3"/>
    <w:basedOn w:val="Normal"/>
    <w:link w:val="Zkladntextodsazen3Char"/>
    <w:uiPriority w:val="99"/>
    <w:qFormat/>
    <w:rsid w:val="00a7253d"/>
    <w:pPr>
      <w:widowControl w:val="false"/>
      <w:tabs>
        <w:tab w:val="clear" w:pos="708"/>
        <w:tab w:val="left" w:pos="540" w:leader="none"/>
      </w:tabs>
      <w:ind w:left="540" w:hanging="540"/>
      <w:jc w:val="both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a7253d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uiPriority w:val="99"/>
    <w:semiHidden/>
    <w:qFormat/>
    <w:rsid w:val="0032333a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Zkladntext2Char"/>
    <w:uiPriority w:val="99"/>
    <w:semiHidden/>
    <w:qFormat/>
    <w:rsid w:val="0032333a"/>
    <w:pPr>
      <w:spacing w:lineRule="auto" w:line="480" w:before="0" w:after="120"/>
    </w:pPr>
    <w:rPr/>
  </w:style>
  <w:style w:type="paragraph" w:styleId="Textparagrafu" w:customStyle="1">
    <w:name w:val="Text paragrafu"/>
    <w:basedOn w:val="Normal"/>
    <w:uiPriority w:val="99"/>
    <w:qFormat/>
    <w:rsid w:val="0032333a"/>
    <w:pPr>
      <w:spacing w:before="240" w:after="0"/>
      <w:ind w:firstLine="425"/>
      <w:jc w:val="both"/>
    </w:pPr>
    <w:rPr/>
  </w:style>
  <w:style w:type="paragraph" w:styleId="Nzevzkona" w:customStyle="1">
    <w:name w:val="název zákona"/>
    <w:basedOn w:val="Nzev"/>
    <w:uiPriority w:val="99"/>
    <w:qFormat/>
    <w:rsid w:val="0032333a"/>
    <w:pPr/>
    <w:rPr/>
  </w:style>
  <w:style w:type="paragraph" w:styleId="Nzev">
    <w:name w:val="Title"/>
    <w:basedOn w:val="Normal"/>
    <w:next w:val="Normal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Slalnk" w:customStyle="1">
    <w:name w:val="Čísla článků"/>
    <w:basedOn w:val="Normal"/>
    <w:qFormat/>
    <w:rsid w:val="00ab218d"/>
    <w:pPr>
      <w:keepNext w:val="true"/>
      <w:keepLines/>
      <w:spacing w:before="360" w:after="60"/>
      <w:jc w:val="center"/>
    </w:pPr>
    <w:rPr>
      <w:b/>
      <w:bCs/>
      <w:szCs w:val="20"/>
    </w:rPr>
  </w:style>
  <w:style w:type="paragraph" w:styleId="Nzvylnk" w:customStyle="1">
    <w:name w:val="Názvy článků"/>
    <w:basedOn w:val="Slalnk"/>
    <w:qFormat/>
    <w:rsid w:val="00ab218d"/>
    <w:pPr>
      <w:spacing w:before="60" w:after="1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LibreOffice/6.3.2.2$Windows_X86_64 LibreOffice_project/98b30e735bda24bc04ab42594c85f7fd8be07b9c</Application>
  <Pages>4</Pages>
  <Words>967</Words>
  <Characters>6249</Characters>
  <CharactersWithSpaces>7150</CharactersWithSpaces>
  <Paragraphs>81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2022-11-30T12:12:00Z</dcterms:created>
  <dc:creator>DA210036</dc:creator>
  <dc:description/>
  <dc:language>en-GB</dc:language>
  <cp:lastModifiedBy/>
  <cp:lastPrinted>2023-07-18T17:23:02Z</cp:lastPrinted>
  <dcterms:modified xsi:type="dcterms:W3CDTF">2023-07-18T17:25:43Z</dcterms:modified>
  <cp:revision>6</cp:revision>
  <dc:subject/>
  <dc:title>Vzor obecně závazné vyhlášky obce o stanovení systému shromažďování, sběru, přepravy, třídění, využívání a odstraňování komuná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